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cs="宋体"/>
          <w:color w:val="auto"/>
          <w:sz w:val="36"/>
          <w:szCs w:val="36"/>
        </w:rPr>
      </w:pPr>
      <w:r>
        <w:rPr>
          <w:rFonts w:hint="eastAsia" w:ascii="宋体" w:hAnsi="宋体" w:cs="宋体"/>
          <w:color w:val="auto"/>
          <w:sz w:val="36"/>
          <w:szCs w:val="36"/>
          <w:lang w:val="en-US" w:eastAsia="zh-CN"/>
        </w:rPr>
        <w:t>浙江水利水电学院钱塘校区</w:t>
      </w:r>
      <w:r>
        <w:rPr>
          <w:rFonts w:hint="eastAsia" w:ascii="宋体" w:hAnsi="宋体"/>
          <w:b/>
          <w:spacing w:val="-6"/>
          <w:sz w:val="36"/>
          <w:szCs w:val="36"/>
        </w:rPr>
        <w:t>配电房</w:t>
      </w:r>
      <w:r>
        <w:rPr>
          <w:rFonts w:hint="eastAsia" w:ascii="宋体" w:hAnsi="宋体" w:cs="宋体"/>
          <w:color w:val="auto"/>
          <w:sz w:val="36"/>
          <w:szCs w:val="36"/>
          <w:lang w:val="en-US" w:eastAsia="zh-CN"/>
        </w:rPr>
        <w:t>预防性试验及</w:t>
      </w:r>
      <w:r>
        <w:rPr>
          <w:rFonts w:hint="eastAsia" w:ascii="宋体" w:hAnsi="宋体"/>
          <w:b/>
          <w:spacing w:val="-6"/>
          <w:sz w:val="36"/>
          <w:szCs w:val="36"/>
        </w:rPr>
        <w:t>维保服务</w:t>
      </w:r>
    </w:p>
    <w:p>
      <w:pPr>
        <w:spacing w:line="288" w:lineRule="auto"/>
        <w:rPr>
          <w:rFonts w:hint="eastAsia" w:ascii="宋体" w:hAnsi="宋体" w:eastAsia="宋体" w:cs="宋体"/>
          <w:b/>
          <w:sz w:val="24"/>
          <w:szCs w:val="24"/>
        </w:rPr>
      </w:pPr>
      <w:r>
        <w:rPr>
          <w:rFonts w:hint="eastAsia" w:ascii="宋体" w:hAnsi="宋体" w:eastAsia="宋体" w:cs="宋体"/>
          <w:b/>
          <w:sz w:val="24"/>
          <w:szCs w:val="24"/>
        </w:rPr>
        <w:t>一、</w:t>
      </w:r>
      <w:r>
        <w:rPr>
          <w:rFonts w:hint="eastAsia" w:ascii="宋体" w:hAnsi="宋体" w:eastAsia="宋体" w:cs="宋体"/>
          <w:b/>
          <w:spacing w:val="-6"/>
          <w:sz w:val="24"/>
          <w:szCs w:val="24"/>
        </w:rPr>
        <w:t>电力配电房高低压预防性试验和维保服务</w:t>
      </w:r>
      <w:r>
        <w:rPr>
          <w:rFonts w:hint="eastAsia" w:ascii="宋体" w:hAnsi="宋体" w:eastAsia="宋体" w:cs="宋体"/>
          <w:b/>
          <w:sz w:val="24"/>
          <w:szCs w:val="24"/>
        </w:rPr>
        <w:t>要求</w:t>
      </w:r>
    </w:p>
    <w:p>
      <w:pPr>
        <w:spacing w:line="28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及时发现运行中电气设备潜在的缺陷和隐患，预防电力事故的发生或设备损坏，保障设备长期安全稳定运行，根据用户需要，依照中华人民共和国电力行业标准《电力设备高低压预防性试验规程》（DL/T596-1996）和《电气装置安装工程电气设备交接试验标准》（GB50150-2006）、《承装（修、试）电力设施管理办法》（国家电监会28号令）、《</w:t>
      </w:r>
      <w:r>
        <w:rPr>
          <w:rFonts w:hint="eastAsia" w:ascii="宋体" w:hAnsi="宋体" w:eastAsia="宋体" w:cs="宋体"/>
          <w:bCs/>
          <w:sz w:val="24"/>
          <w:szCs w:val="24"/>
        </w:rPr>
        <w:t>DL∕T 1476-2015 电力安全工器具高低压预防性试验规程</w:t>
      </w:r>
      <w:r>
        <w:rPr>
          <w:rFonts w:hint="eastAsia" w:ascii="宋体" w:hAnsi="宋体" w:eastAsia="宋体" w:cs="宋体"/>
          <w:sz w:val="24"/>
          <w:szCs w:val="24"/>
        </w:rPr>
        <w:t>》等国家及行业标准、规定，结合学校现有变电所、配电房内电气设备的配置、电气系统和实际运行情况，对电力设备、电气线路进行检查、试验、监测及故障维修。供应商需根据国家及行业标准、规范要求，结合学校电力设施实际情况和需求，制定高低压预防性试验和维保服务方案，采取定期、不定期及应急方式，为采购人提供电力设备（施）高低压预防性试验及运行</w:t>
      </w:r>
      <w:r>
        <w:rPr>
          <w:rFonts w:hint="eastAsia" w:ascii="宋体" w:hAnsi="宋体" w:cs="宋体"/>
          <w:sz w:val="24"/>
          <w:szCs w:val="24"/>
          <w:lang w:eastAsia="zh-CN"/>
        </w:rPr>
        <w:t>、</w:t>
      </w:r>
      <w:r>
        <w:rPr>
          <w:rFonts w:hint="eastAsia" w:ascii="宋体" w:hAnsi="宋体" w:eastAsia="宋体" w:cs="宋体"/>
          <w:sz w:val="24"/>
          <w:szCs w:val="24"/>
        </w:rPr>
        <w:t>维护</w:t>
      </w:r>
      <w:r>
        <w:rPr>
          <w:rFonts w:hint="eastAsia" w:ascii="宋体" w:hAnsi="宋体" w:cs="宋体"/>
          <w:sz w:val="24"/>
          <w:szCs w:val="24"/>
          <w:lang w:eastAsia="zh-CN"/>
        </w:rPr>
        <w:t>、检修等</w:t>
      </w:r>
      <w:r>
        <w:rPr>
          <w:rFonts w:hint="eastAsia" w:ascii="宋体" w:hAnsi="宋体" w:eastAsia="宋体" w:cs="宋体"/>
          <w:sz w:val="24"/>
          <w:szCs w:val="24"/>
        </w:rPr>
        <w:t>服务。</w:t>
      </w:r>
    </w:p>
    <w:p>
      <w:pPr>
        <w:numPr>
          <w:ilvl w:val="0"/>
          <w:numId w:val="1"/>
        </w:numPr>
        <w:spacing w:line="288"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经费预算：</w:t>
      </w:r>
      <w:r>
        <w:rPr>
          <w:rFonts w:hint="default" w:ascii="宋体" w:hAnsi="宋体" w:cs="宋体"/>
          <w:b/>
          <w:bCs/>
          <w:sz w:val="24"/>
          <w:szCs w:val="24"/>
          <w:lang w:val="en-US" w:eastAsia="zh-CN"/>
        </w:rPr>
        <w:t>6</w:t>
      </w:r>
      <w:r>
        <w:rPr>
          <w:rFonts w:hint="eastAsia" w:ascii="宋体" w:hAnsi="宋体" w:cs="宋体"/>
          <w:b/>
          <w:bCs/>
          <w:sz w:val="24"/>
          <w:szCs w:val="24"/>
          <w:lang w:val="en-US" w:eastAsia="zh-CN"/>
        </w:rPr>
        <w:t>万每年</w:t>
      </w:r>
    </w:p>
    <w:tbl>
      <w:tblPr>
        <w:tblStyle w:val="6"/>
        <w:tblW w:w="8140" w:type="dxa"/>
        <w:jc w:val="center"/>
        <w:tblLayout w:type="fixed"/>
        <w:tblCellMar>
          <w:top w:w="15" w:type="dxa"/>
          <w:left w:w="15" w:type="dxa"/>
          <w:bottom w:w="15" w:type="dxa"/>
          <w:right w:w="15" w:type="dxa"/>
        </w:tblCellMar>
      </w:tblPr>
      <w:tblGrid>
        <w:gridCol w:w="1747"/>
        <w:gridCol w:w="6393"/>
      </w:tblGrid>
      <w:tr>
        <w:tblPrEx>
          <w:tblCellMar>
            <w:top w:w="15" w:type="dxa"/>
            <w:left w:w="15" w:type="dxa"/>
            <w:bottom w:w="15" w:type="dxa"/>
            <w:right w:w="15" w:type="dxa"/>
          </w:tblCellMar>
        </w:tblPrEx>
        <w:trPr>
          <w:trHeight w:val="1370" w:hRule="atLeast"/>
          <w:jc w:val="center"/>
        </w:trPr>
        <w:tc>
          <w:tcPr>
            <w:tcW w:w="1747" w:type="dxa"/>
            <w:tcBorders>
              <w:top w:val="single" w:color="000000" w:sz="4" w:space="0"/>
              <w:left w:val="single" w:color="000000" w:sz="4" w:space="0"/>
              <w:bottom w:val="single" w:color="000000" w:sz="4" w:space="0"/>
              <w:right w:val="single" w:color="auto" w:sz="4" w:space="0"/>
            </w:tcBorders>
            <w:vAlign w:val="center"/>
          </w:tcPr>
          <w:p>
            <w:pPr>
              <w:jc w:val="center"/>
              <w:rPr>
                <w:b w:val="0"/>
                <w:bCs w:val="0"/>
              </w:rPr>
            </w:pPr>
            <w:r>
              <w:rPr>
                <w:rFonts w:hint="eastAsia"/>
                <w:b w:val="0"/>
                <w:bCs w:val="0"/>
              </w:rPr>
              <w:t>维保预算</w:t>
            </w:r>
          </w:p>
        </w:tc>
        <w:tc>
          <w:tcPr>
            <w:tcW w:w="6393" w:type="dxa"/>
            <w:tcBorders>
              <w:top w:val="single" w:color="auto" w:sz="4" w:space="0"/>
              <w:left w:val="single" w:color="auto" w:sz="4" w:space="0"/>
              <w:bottom w:val="single" w:color="auto" w:sz="4" w:space="0"/>
              <w:right w:val="single" w:color="000000" w:sz="4" w:space="0"/>
            </w:tcBorders>
            <w:vAlign w:val="center"/>
          </w:tcPr>
          <w:p>
            <w:pPr>
              <w:jc w:val="center"/>
              <w:rPr>
                <w:rFonts w:hint="eastAsia" w:eastAsia="宋体"/>
                <w:b w:val="0"/>
                <w:bCs w:val="0"/>
                <w:lang w:eastAsia="zh-CN"/>
              </w:rPr>
            </w:pPr>
            <w:r>
              <w:rPr>
                <w:rFonts w:hint="default"/>
                <w:b w:val="0"/>
                <w:bCs w:val="0"/>
                <w:lang w:val="en-US" w:eastAsia="zh-CN"/>
              </w:rPr>
              <w:t>4</w:t>
            </w:r>
            <w:r>
              <w:rPr>
                <w:rFonts w:hint="eastAsia"/>
                <w:b w:val="0"/>
                <w:bCs w:val="0"/>
              </w:rPr>
              <w:t>万元</w:t>
            </w:r>
          </w:p>
          <w:p>
            <w:pPr>
              <w:jc w:val="center"/>
              <w:rPr>
                <w:b w:val="0"/>
                <w:bCs w:val="0"/>
              </w:rPr>
            </w:pPr>
            <w:r>
              <w:rPr>
                <w:b w:val="0"/>
                <w:bCs w:val="0"/>
              </w:rPr>
              <w:t>（预算分析：</w:t>
            </w:r>
            <w:r>
              <w:rPr>
                <w:rFonts w:hint="eastAsia"/>
                <w:b w:val="0"/>
                <w:bCs w:val="0"/>
                <w:lang w:val="en-US" w:eastAsia="zh-CN"/>
              </w:rPr>
              <w:t>8个配电房高低压</w:t>
            </w:r>
            <w:r>
              <w:rPr>
                <w:rFonts w:hint="eastAsia"/>
                <w:b w:val="0"/>
                <w:bCs w:val="0"/>
                <w:lang w:eastAsia="zh-CN"/>
              </w:rPr>
              <w:t>预防性试验；安全用具检测，并提供有</w:t>
            </w:r>
            <w:r>
              <w:rPr>
                <w:rFonts w:hint="eastAsia"/>
                <w:b w:val="0"/>
                <w:bCs w:val="0"/>
                <w:lang w:val="en-US" w:eastAsia="zh-CN"/>
              </w:rPr>
              <w:t>CMA认证的检测报告</w:t>
            </w:r>
            <w:r>
              <w:rPr>
                <w:rFonts w:hint="eastAsia"/>
                <w:b w:val="0"/>
                <w:bCs w:val="0"/>
                <w:lang w:eastAsia="zh-CN"/>
              </w:rPr>
              <w:t>；每月定期维护及专业检测等，详见《高低压预防性试验、维保服务要求明细表》。</w:t>
            </w:r>
          </w:p>
        </w:tc>
      </w:tr>
      <w:tr>
        <w:tblPrEx>
          <w:tblCellMar>
            <w:top w:w="15" w:type="dxa"/>
            <w:left w:w="15" w:type="dxa"/>
            <w:bottom w:w="15" w:type="dxa"/>
            <w:right w:w="15" w:type="dxa"/>
          </w:tblCellMar>
        </w:tblPrEx>
        <w:trPr>
          <w:trHeight w:val="1390" w:hRule="atLeast"/>
          <w:jc w:val="center"/>
        </w:trPr>
        <w:tc>
          <w:tcPr>
            <w:tcW w:w="174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b w:val="0"/>
                <w:bCs w:val="0"/>
                <w:lang w:eastAsia="zh-CN"/>
              </w:rPr>
            </w:pPr>
            <w:r>
              <w:rPr>
                <w:rFonts w:hint="eastAsia"/>
                <w:b w:val="0"/>
                <w:bCs w:val="0"/>
                <w:lang w:eastAsia="zh-CN"/>
              </w:rPr>
              <w:t>维修预算</w:t>
            </w:r>
          </w:p>
        </w:tc>
        <w:tc>
          <w:tcPr>
            <w:tcW w:w="6393" w:type="dxa"/>
            <w:tcBorders>
              <w:top w:val="single" w:color="auto" w:sz="4" w:space="0"/>
              <w:left w:val="single" w:color="000000" w:sz="4" w:space="0"/>
              <w:bottom w:val="single" w:color="auto" w:sz="4" w:space="0"/>
              <w:right w:val="single" w:color="000000" w:sz="4" w:space="0"/>
            </w:tcBorders>
            <w:vAlign w:val="center"/>
          </w:tcPr>
          <w:p>
            <w:pPr>
              <w:jc w:val="center"/>
              <w:rPr>
                <w:rFonts w:hint="default"/>
                <w:b w:val="0"/>
                <w:bCs w:val="0"/>
                <w:lang w:val="en-US" w:eastAsia="zh-CN"/>
              </w:rPr>
            </w:pPr>
            <w:r>
              <w:rPr>
                <w:rFonts w:hint="eastAsia"/>
                <w:b w:val="0"/>
                <w:bCs w:val="0"/>
                <w:lang w:val="en-US" w:eastAsia="zh-CN"/>
              </w:rPr>
              <w:t>根据实际维修情况按报价实时结算，年度预算</w:t>
            </w:r>
            <w:r>
              <w:rPr>
                <w:rFonts w:hint="default"/>
                <w:b w:val="0"/>
                <w:bCs w:val="0"/>
                <w:lang w:val="en-US" w:eastAsia="zh-CN"/>
              </w:rPr>
              <w:t>2</w:t>
            </w:r>
            <w:r>
              <w:rPr>
                <w:rFonts w:hint="eastAsia"/>
                <w:b w:val="0"/>
                <w:bCs w:val="0"/>
                <w:lang w:val="en-US" w:eastAsia="zh-CN"/>
              </w:rPr>
              <w:t>万元。</w:t>
            </w:r>
          </w:p>
        </w:tc>
      </w:tr>
    </w:tbl>
    <w:p>
      <w:pPr>
        <w:widowControl w:val="0"/>
        <w:numPr>
          <w:ilvl w:val="0"/>
          <w:numId w:val="0"/>
        </w:numPr>
        <w:spacing w:line="288" w:lineRule="auto"/>
        <w:jc w:val="both"/>
        <w:rPr>
          <w:rFonts w:hint="eastAsia" w:ascii="宋体" w:hAnsi="宋体" w:cs="宋体"/>
          <w:b/>
          <w:bCs/>
          <w:sz w:val="24"/>
          <w:szCs w:val="24"/>
          <w:lang w:val="en-US" w:eastAsia="zh-CN"/>
        </w:rPr>
      </w:pPr>
    </w:p>
    <w:p>
      <w:pPr>
        <w:numPr>
          <w:ilvl w:val="0"/>
          <w:numId w:val="1"/>
        </w:numPr>
        <w:spacing w:line="288" w:lineRule="auto"/>
        <w:rPr>
          <w:rFonts w:hint="default" w:ascii="宋体" w:hAnsi="宋体" w:cs="宋体"/>
          <w:b/>
          <w:bCs/>
          <w:sz w:val="24"/>
          <w:szCs w:val="24"/>
          <w:lang w:val="en-US" w:eastAsia="zh-CN"/>
        </w:rPr>
      </w:pPr>
      <w:r>
        <w:rPr>
          <w:rFonts w:hint="eastAsia" w:ascii="宋体" w:hAnsi="宋体" w:cs="宋体"/>
          <w:b/>
          <w:bCs/>
          <w:sz w:val="24"/>
          <w:szCs w:val="24"/>
          <w:lang w:val="en-US" w:eastAsia="zh-CN"/>
        </w:rPr>
        <w:t>服务期限：一年</w:t>
      </w:r>
    </w:p>
    <w:p>
      <w:pPr>
        <w:spacing w:line="288" w:lineRule="auto"/>
        <w:rPr>
          <w:rFonts w:hint="eastAsia" w:ascii="宋体" w:hAnsi="宋体" w:eastAsia="宋体" w:cs="宋体"/>
          <w:b/>
          <w:sz w:val="24"/>
          <w:szCs w:val="24"/>
        </w:rPr>
      </w:pPr>
      <w:r>
        <w:rPr>
          <w:rFonts w:hint="eastAsia" w:ascii="宋体" w:hAnsi="宋体" w:cs="宋体"/>
          <w:b/>
          <w:sz w:val="24"/>
          <w:szCs w:val="24"/>
          <w:lang w:val="en-US" w:eastAsia="zh-CN"/>
        </w:rPr>
        <w:t>四</w:t>
      </w:r>
      <w:r>
        <w:rPr>
          <w:rFonts w:hint="eastAsia" w:ascii="宋体" w:hAnsi="宋体" w:eastAsia="宋体" w:cs="宋体"/>
          <w:b/>
          <w:sz w:val="24"/>
          <w:szCs w:val="24"/>
        </w:rPr>
        <w:t>、电力设备高低压预防性试验和维保服务范围：配电房内变配电设备、电气系统、电气线路等。</w:t>
      </w:r>
    </w:p>
    <w:p>
      <w:pPr>
        <w:spacing w:line="288"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1、浙江</w:t>
      </w:r>
      <w:r>
        <w:rPr>
          <w:rFonts w:hint="eastAsia" w:ascii="宋体" w:hAnsi="宋体" w:cs="宋体"/>
          <w:b/>
          <w:sz w:val="24"/>
          <w:szCs w:val="24"/>
          <w:lang w:val="en-US" w:eastAsia="zh-CN"/>
        </w:rPr>
        <w:t>水利水电学院</w:t>
      </w:r>
      <w:r>
        <w:rPr>
          <w:rFonts w:hint="eastAsia" w:ascii="宋体" w:hAnsi="宋体" w:eastAsia="宋体" w:cs="宋体"/>
          <w:b/>
          <w:sz w:val="24"/>
          <w:szCs w:val="24"/>
        </w:rPr>
        <w:t>供电范围明细如下：</w:t>
      </w:r>
    </w:p>
    <w:tbl>
      <w:tblPr>
        <w:tblStyle w:val="6"/>
        <w:tblW w:w="8522" w:type="dxa"/>
        <w:tblInd w:w="0" w:type="dxa"/>
        <w:tblLayout w:type="fixed"/>
        <w:tblCellMar>
          <w:top w:w="0" w:type="dxa"/>
          <w:left w:w="108" w:type="dxa"/>
          <w:bottom w:w="0" w:type="dxa"/>
          <w:right w:w="108" w:type="dxa"/>
        </w:tblCellMar>
      </w:tblPr>
      <w:tblGrid>
        <w:gridCol w:w="590"/>
        <w:gridCol w:w="2823"/>
        <w:gridCol w:w="1228"/>
        <w:gridCol w:w="839"/>
        <w:gridCol w:w="3042"/>
      </w:tblGrid>
      <w:tr>
        <w:tblPrEx>
          <w:tblCellMar>
            <w:top w:w="0" w:type="dxa"/>
            <w:left w:w="108" w:type="dxa"/>
            <w:bottom w:w="0" w:type="dxa"/>
            <w:right w:w="108" w:type="dxa"/>
          </w:tblCellMar>
        </w:tblPrEx>
        <w:trPr>
          <w:trHeight w:val="475" w:hRule="atLeast"/>
        </w:trPr>
        <w:tc>
          <w:tcPr>
            <w:tcW w:w="5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53" w:leftChars="-25" w:right="-53" w:rightChars="-25"/>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2823" w:type="dxa"/>
            <w:tcBorders>
              <w:top w:val="single" w:color="auto" w:sz="4" w:space="0"/>
              <w:left w:val="nil"/>
              <w:bottom w:val="single" w:color="auto" w:sz="4" w:space="0"/>
              <w:right w:val="single" w:color="auto" w:sz="4" w:space="0"/>
            </w:tcBorders>
            <w:noWrap w:val="0"/>
            <w:vAlign w:val="center"/>
          </w:tcPr>
          <w:p>
            <w:pPr>
              <w:widowControl/>
              <w:spacing w:line="360" w:lineRule="auto"/>
              <w:ind w:left="-53" w:leftChars="-25" w:right="-53" w:rightChars="-25"/>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楼栋</w:t>
            </w:r>
          </w:p>
        </w:tc>
        <w:tc>
          <w:tcPr>
            <w:tcW w:w="1228" w:type="dxa"/>
            <w:tcBorders>
              <w:top w:val="single" w:color="auto" w:sz="4" w:space="0"/>
              <w:left w:val="nil"/>
              <w:bottom w:val="single" w:color="auto" w:sz="4" w:space="0"/>
              <w:right w:val="single" w:color="auto" w:sz="4" w:space="0"/>
            </w:tcBorders>
            <w:noWrap w:val="0"/>
            <w:vAlign w:val="center"/>
          </w:tcPr>
          <w:p>
            <w:pPr>
              <w:widowControl/>
              <w:spacing w:line="360" w:lineRule="auto"/>
              <w:ind w:left="-53" w:leftChars="-25" w:right="-53" w:rightChars="-25"/>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变压器容量（KVA）</w:t>
            </w:r>
          </w:p>
        </w:tc>
        <w:tc>
          <w:tcPr>
            <w:tcW w:w="8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53" w:leftChars="-25" w:right="-53" w:rightChars="-25"/>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数量（台）</w:t>
            </w:r>
          </w:p>
        </w:tc>
        <w:tc>
          <w:tcPr>
            <w:tcW w:w="3042" w:type="dxa"/>
            <w:tcBorders>
              <w:top w:val="single" w:color="auto" w:sz="4" w:space="0"/>
              <w:left w:val="nil"/>
              <w:bottom w:val="single" w:color="auto" w:sz="4" w:space="0"/>
              <w:right w:val="single" w:color="auto" w:sz="4" w:space="0"/>
            </w:tcBorders>
            <w:noWrap w:val="0"/>
            <w:vAlign w:val="center"/>
          </w:tcPr>
          <w:p>
            <w:pPr>
              <w:widowControl/>
              <w:spacing w:line="360" w:lineRule="auto"/>
              <w:ind w:left="-53" w:leftChars="-25" w:right="-53" w:rightChars="-25"/>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供电范围</w:t>
            </w:r>
          </w:p>
        </w:tc>
      </w:tr>
      <w:tr>
        <w:tblPrEx>
          <w:tblCellMar>
            <w:top w:w="0" w:type="dxa"/>
            <w:left w:w="108" w:type="dxa"/>
            <w:bottom w:w="0" w:type="dxa"/>
            <w:right w:w="108" w:type="dxa"/>
          </w:tblCellMar>
        </w:tblPrEx>
        <w:trPr>
          <w:trHeight w:val="383" w:hRule="atLeast"/>
        </w:trPr>
        <w:tc>
          <w:tcPr>
            <w:tcW w:w="590"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823" w:type="dxa"/>
            <w:tcBorders>
              <w:top w:val="nil"/>
              <w:left w:val="nil"/>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kern w:val="0"/>
                <w:sz w:val="24"/>
                <w:szCs w:val="24"/>
                <w:lang w:val="en-US"/>
              </w:rPr>
            </w:pPr>
            <w:r>
              <w:rPr>
                <w:rFonts w:hint="eastAsia" w:ascii="宋体" w:hAnsi="宋体" w:cs="宋体"/>
                <w:kern w:val="0"/>
                <w:sz w:val="24"/>
                <w:szCs w:val="24"/>
                <w:lang w:val="en-US" w:eastAsia="zh-CN"/>
              </w:rPr>
              <w:t>生活区1</w:t>
            </w:r>
            <w:r>
              <w:rPr>
                <w:rFonts w:hint="eastAsia" w:ascii="宋体" w:hAnsi="宋体" w:eastAsia="宋体" w:cs="宋体"/>
                <w:kern w:val="0"/>
                <w:sz w:val="24"/>
                <w:szCs w:val="24"/>
              </w:rPr>
              <w:t>#</w:t>
            </w:r>
            <w:r>
              <w:rPr>
                <w:rFonts w:hint="eastAsia" w:ascii="宋体" w:hAnsi="宋体" w:cs="宋体"/>
                <w:kern w:val="0"/>
                <w:sz w:val="24"/>
                <w:szCs w:val="24"/>
                <w:lang w:val="en-US" w:eastAsia="zh-CN"/>
              </w:rPr>
              <w:t>高配房(总配)</w:t>
            </w:r>
          </w:p>
        </w:tc>
        <w:tc>
          <w:tcPr>
            <w:tcW w:w="122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800</w:t>
            </w:r>
          </w:p>
        </w:tc>
        <w:tc>
          <w:tcPr>
            <w:tcW w:w="839"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3042" w:type="dxa"/>
            <w:tcBorders>
              <w:top w:val="nil"/>
              <w:left w:val="nil"/>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食堂、</w:t>
            </w:r>
            <w:r>
              <w:rPr>
                <w:rFonts w:hint="eastAsia" w:ascii="宋体" w:hAnsi="宋体" w:cs="宋体"/>
                <w:kern w:val="0"/>
                <w:sz w:val="24"/>
                <w:szCs w:val="24"/>
                <w:lang w:val="en-US" w:eastAsia="zh-CN"/>
              </w:rPr>
              <w:t>4.5.8.1</w:t>
            </w:r>
          </w:p>
        </w:tc>
      </w:tr>
      <w:tr>
        <w:tblPrEx>
          <w:tblCellMar>
            <w:top w:w="0" w:type="dxa"/>
            <w:left w:w="108" w:type="dxa"/>
            <w:bottom w:w="0" w:type="dxa"/>
            <w:right w:w="108" w:type="dxa"/>
          </w:tblCellMar>
        </w:tblPrEx>
        <w:trPr>
          <w:trHeight w:val="660" w:hRule="atLeast"/>
        </w:trPr>
        <w:tc>
          <w:tcPr>
            <w:tcW w:w="590"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823"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生活区2</w:t>
            </w:r>
            <w:r>
              <w:rPr>
                <w:rFonts w:hint="eastAsia" w:ascii="宋体" w:hAnsi="宋体" w:eastAsia="宋体" w:cs="宋体"/>
                <w:kern w:val="0"/>
                <w:sz w:val="24"/>
                <w:szCs w:val="24"/>
              </w:rPr>
              <w:t>#</w:t>
            </w:r>
            <w:r>
              <w:rPr>
                <w:rFonts w:hint="eastAsia" w:ascii="宋体" w:hAnsi="宋体" w:cs="宋体"/>
                <w:kern w:val="0"/>
                <w:sz w:val="24"/>
                <w:szCs w:val="24"/>
                <w:lang w:val="en-US" w:eastAsia="zh-CN"/>
              </w:rPr>
              <w:t>高配房</w:t>
            </w:r>
          </w:p>
        </w:tc>
        <w:tc>
          <w:tcPr>
            <w:tcW w:w="122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800</w:t>
            </w:r>
          </w:p>
        </w:tc>
        <w:tc>
          <w:tcPr>
            <w:tcW w:w="839"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3042" w:type="dxa"/>
            <w:tcBorders>
              <w:top w:val="nil"/>
              <w:left w:val="nil"/>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3、6、7、2、移动发射塔.6＃电信机房.东泽苑二层空调</w:t>
            </w:r>
          </w:p>
        </w:tc>
      </w:tr>
      <w:tr>
        <w:tblPrEx>
          <w:tblCellMar>
            <w:top w:w="0" w:type="dxa"/>
            <w:left w:w="108" w:type="dxa"/>
            <w:bottom w:w="0" w:type="dxa"/>
            <w:right w:w="108" w:type="dxa"/>
          </w:tblCellMar>
        </w:tblPrEx>
        <w:trPr>
          <w:trHeight w:val="450" w:hRule="atLeast"/>
        </w:trPr>
        <w:tc>
          <w:tcPr>
            <w:tcW w:w="590"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823"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生活区3</w:t>
            </w:r>
            <w:r>
              <w:rPr>
                <w:rFonts w:hint="eastAsia" w:ascii="宋体" w:hAnsi="宋体" w:eastAsia="宋体" w:cs="宋体"/>
                <w:kern w:val="0"/>
                <w:sz w:val="24"/>
                <w:szCs w:val="24"/>
              </w:rPr>
              <w:t>#</w:t>
            </w:r>
            <w:r>
              <w:rPr>
                <w:rFonts w:hint="eastAsia" w:ascii="宋体" w:hAnsi="宋体" w:cs="宋体"/>
                <w:kern w:val="0"/>
                <w:sz w:val="24"/>
                <w:szCs w:val="24"/>
                <w:lang w:val="en-US" w:eastAsia="zh-CN"/>
              </w:rPr>
              <w:t>高配房</w:t>
            </w:r>
          </w:p>
        </w:tc>
        <w:tc>
          <w:tcPr>
            <w:tcW w:w="122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1000</w:t>
            </w:r>
          </w:p>
        </w:tc>
        <w:tc>
          <w:tcPr>
            <w:tcW w:w="839"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3042" w:type="dxa"/>
            <w:tcBorders>
              <w:top w:val="nil"/>
              <w:left w:val="nil"/>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西润楼一、二层，</w:t>
            </w:r>
            <w:r>
              <w:rPr>
                <w:rFonts w:hint="eastAsia" w:ascii="宋体" w:hAnsi="宋体" w:cs="宋体"/>
                <w:kern w:val="0"/>
                <w:sz w:val="24"/>
                <w:szCs w:val="24"/>
                <w:lang w:val="en-US" w:eastAsia="zh-CN"/>
              </w:rPr>
              <w:t>.9.10.11.12.13.14.15＃楼，后勤楼</w:t>
            </w:r>
          </w:p>
        </w:tc>
      </w:tr>
      <w:tr>
        <w:tblPrEx>
          <w:tblCellMar>
            <w:top w:w="0" w:type="dxa"/>
            <w:left w:w="108" w:type="dxa"/>
            <w:bottom w:w="0" w:type="dxa"/>
            <w:right w:w="108" w:type="dxa"/>
          </w:tblCellMar>
        </w:tblPrEx>
        <w:trPr>
          <w:trHeight w:val="465" w:hRule="atLeast"/>
        </w:trPr>
        <w:tc>
          <w:tcPr>
            <w:tcW w:w="590"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823"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cs="宋体"/>
                <w:kern w:val="0"/>
                <w:sz w:val="24"/>
                <w:szCs w:val="24"/>
                <w:lang w:val="en-US" w:eastAsia="zh-CN"/>
              </w:rPr>
              <w:t>河长大厦</w:t>
            </w:r>
            <w:r>
              <w:rPr>
                <w:rFonts w:hint="eastAsia" w:ascii="宋体" w:hAnsi="宋体" w:eastAsia="宋体" w:cs="宋体"/>
                <w:kern w:val="0"/>
                <w:sz w:val="24"/>
                <w:szCs w:val="24"/>
              </w:rPr>
              <w:t>）</w:t>
            </w:r>
            <w:r>
              <w:rPr>
                <w:rFonts w:hint="eastAsia" w:ascii="宋体" w:hAnsi="宋体" w:cs="宋体"/>
                <w:kern w:val="0"/>
                <w:sz w:val="24"/>
                <w:szCs w:val="24"/>
                <w:lang w:val="en-US" w:eastAsia="zh-CN"/>
              </w:rPr>
              <w:t>高配房</w:t>
            </w:r>
          </w:p>
        </w:tc>
        <w:tc>
          <w:tcPr>
            <w:tcW w:w="122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800</w:t>
            </w:r>
          </w:p>
        </w:tc>
        <w:tc>
          <w:tcPr>
            <w:tcW w:w="839"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3042" w:type="dxa"/>
            <w:tcBorders>
              <w:top w:val="nil"/>
              <w:left w:val="nil"/>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河</w:t>
            </w:r>
            <w:r>
              <w:rPr>
                <w:rFonts w:hint="eastAsia" w:ascii="宋体" w:hAnsi="宋体" w:cs="宋体"/>
                <w:kern w:val="0"/>
                <w:sz w:val="24"/>
                <w:szCs w:val="24"/>
                <w:lang w:val="en-US" w:eastAsia="zh-CN"/>
              </w:rPr>
              <w:t>长大厦.</w:t>
            </w:r>
            <w:r>
              <w:rPr>
                <w:rFonts w:hint="eastAsia" w:ascii="宋体" w:hAnsi="宋体" w:cs="宋体"/>
                <w:kern w:val="0"/>
                <w:sz w:val="24"/>
                <w:szCs w:val="24"/>
                <w:lang w:eastAsia="zh-CN"/>
              </w:rPr>
              <w:t>西润楼三层</w:t>
            </w:r>
          </w:p>
        </w:tc>
      </w:tr>
      <w:tr>
        <w:tblPrEx>
          <w:tblCellMar>
            <w:top w:w="0" w:type="dxa"/>
            <w:left w:w="108" w:type="dxa"/>
            <w:bottom w:w="0" w:type="dxa"/>
            <w:right w:w="108" w:type="dxa"/>
          </w:tblCellMar>
        </w:tblPrEx>
        <w:trPr>
          <w:trHeight w:val="690" w:hRule="atLeast"/>
        </w:trPr>
        <w:tc>
          <w:tcPr>
            <w:tcW w:w="590"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823"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校区</w:t>
            </w:r>
            <w:r>
              <w:rPr>
                <w:rFonts w:hint="eastAsia" w:ascii="宋体" w:hAnsi="宋体" w:eastAsia="宋体" w:cs="宋体"/>
                <w:kern w:val="0"/>
                <w:sz w:val="24"/>
                <w:szCs w:val="24"/>
              </w:rPr>
              <w:t>（</w:t>
            </w:r>
            <w:r>
              <w:rPr>
                <w:rFonts w:hint="eastAsia" w:ascii="宋体" w:hAnsi="宋体" w:cs="宋体"/>
                <w:kern w:val="0"/>
                <w:sz w:val="24"/>
                <w:szCs w:val="24"/>
                <w:lang w:val="en-US" w:eastAsia="zh-CN"/>
              </w:rPr>
              <w:t>现教北楼</w:t>
            </w:r>
            <w:r>
              <w:rPr>
                <w:rFonts w:hint="eastAsia" w:ascii="宋体" w:hAnsi="宋体" w:eastAsia="宋体" w:cs="宋体"/>
                <w:kern w:val="0"/>
                <w:sz w:val="24"/>
                <w:szCs w:val="24"/>
              </w:rPr>
              <w:t>）</w:t>
            </w:r>
            <w:r>
              <w:rPr>
                <w:rFonts w:hint="eastAsia" w:ascii="宋体" w:hAnsi="宋体" w:cs="宋体"/>
                <w:kern w:val="0"/>
                <w:sz w:val="24"/>
                <w:szCs w:val="24"/>
                <w:lang w:val="en-US" w:eastAsia="zh-CN"/>
              </w:rPr>
              <w:t>高配房</w:t>
            </w:r>
          </w:p>
        </w:tc>
        <w:tc>
          <w:tcPr>
            <w:tcW w:w="122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800</w:t>
            </w:r>
          </w:p>
        </w:tc>
        <w:tc>
          <w:tcPr>
            <w:tcW w:w="839"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3042" w:type="dxa"/>
            <w:tcBorders>
              <w:top w:val="nil"/>
              <w:left w:val="nil"/>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二训楼、现教南北楼</w:t>
            </w:r>
            <w:r>
              <w:rPr>
                <w:rFonts w:hint="eastAsia" w:ascii="宋体" w:hAnsi="宋体" w:cs="宋体"/>
                <w:kern w:val="0"/>
                <w:sz w:val="24"/>
                <w:szCs w:val="24"/>
                <w:lang w:val="en-US" w:eastAsia="zh-CN"/>
              </w:rPr>
              <w:t>.风雨操场.田径场.卫生所.仿真实验室.土木工程实验室.机电实训.工训中心.北门收发传达室.图书馆地下泵房</w:t>
            </w:r>
          </w:p>
        </w:tc>
      </w:tr>
      <w:tr>
        <w:tblPrEx>
          <w:tblCellMar>
            <w:top w:w="0" w:type="dxa"/>
            <w:left w:w="108" w:type="dxa"/>
            <w:bottom w:w="0" w:type="dxa"/>
            <w:right w:w="108" w:type="dxa"/>
          </w:tblCellMar>
        </w:tblPrEx>
        <w:trPr>
          <w:trHeight w:val="480" w:hRule="atLeast"/>
        </w:trPr>
        <w:tc>
          <w:tcPr>
            <w:tcW w:w="590"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823"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校区</w:t>
            </w:r>
            <w:r>
              <w:rPr>
                <w:rFonts w:hint="eastAsia" w:ascii="宋体" w:hAnsi="宋体" w:eastAsia="宋体" w:cs="宋体"/>
                <w:kern w:val="0"/>
                <w:sz w:val="24"/>
                <w:szCs w:val="24"/>
              </w:rPr>
              <w:t>（</w:t>
            </w:r>
            <w:r>
              <w:rPr>
                <w:rFonts w:hint="eastAsia" w:ascii="宋体" w:hAnsi="宋体" w:cs="宋体"/>
                <w:kern w:val="0"/>
                <w:sz w:val="24"/>
                <w:szCs w:val="24"/>
                <w:lang w:eastAsia="zh-CN"/>
              </w:rPr>
              <w:t>综合楼</w:t>
            </w:r>
            <w:r>
              <w:rPr>
                <w:rFonts w:hint="eastAsia" w:ascii="宋体" w:hAnsi="宋体" w:eastAsia="宋体" w:cs="宋体"/>
                <w:kern w:val="0"/>
                <w:sz w:val="24"/>
                <w:szCs w:val="24"/>
              </w:rPr>
              <w:t>）</w:t>
            </w:r>
            <w:r>
              <w:rPr>
                <w:rFonts w:hint="eastAsia" w:ascii="宋体" w:hAnsi="宋体" w:cs="宋体"/>
                <w:kern w:val="0"/>
                <w:sz w:val="24"/>
                <w:szCs w:val="24"/>
                <w:lang w:val="en-US" w:eastAsia="zh-CN"/>
              </w:rPr>
              <w:t>高配房</w:t>
            </w:r>
          </w:p>
        </w:tc>
        <w:tc>
          <w:tcPr>
            <w:tcW w:w="122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1000</w:t>
            </w:r>
          </w:p>
        </w:tc>
        <w:tc>
          <w:tcPr>
            <w:tcW w:w="839"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3042"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综合楼</w:t>
            </w:r>
          </w:p>
        </w:tc>
      </w:tr>
      <w:tr>
        <w:tblPrEx>
          <w:tblCellMar>
            <w:top w:w="0" w:type="dxa"/>
            <w:left w:w="108" w:type="dxa"/>
            <w:bottom w:w="0" w:type="dxa"/>
            <w:right w:w="108" w:type="dxa"/>
          </w:tblCellMar>
        </w:tblPrEx>
        <w:trPr>
          <w:trHeight w:val="450" w:hRule="atLeast"/>
        </w:trPr>
        <w:tc>
          <w:tcPr>
            <w:tcW w:w="590"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2823"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校区</w:t>
            </w:r>
            <w:r>
              <w:rPr>
                <w:rFonts w:hint="eastAsia" w:ascii="宋体" w:hAnsi="宋体" w:eastAsia="宋体" w:cs="宋体"/>
                <w:kern w:val="0"/>
                <w:sz w:val="24"/>
                <w:szCs w:val="24"/>
              </w:rPr>
              <w:t>（</w:t>
            </w:r>
            <w:r>
              <w:rPr>
                <w:rFonts w:hint="eastAsia" w:ascii="宋体" w:hAnsi="宋体" w:cs="宋体"/>
                <w:kern w:val="0"/>
                <w:sz w:val="24"/>
                <w:szCs w:val="24"/>
                <w:lang w:val="en-US" w:eastAsia="zh-CN"/>
              </w:rPr>
              <w:t>教学B楼</w:t>
            </w:r>
            <w:r>
              <w:rPr>
                <w:rFonts w:hint="eastAsia" w:ascii="宋体" w:hAnsi="宋体" w:eastAsia="宋体" w:cs="宋体"/>
                <w:kern w:val="0"/>
                <w:sz w:val="24"/>
                <w:szCs w:val="24"/>
              </w:rPr>
              <w:t>）</w:t>
            </w:r>
            <w:r>
              <w:rPr>
                <w:rFonts w:hint="eastAsia" w:ascii="宋体" w:hAnsi="宋体" w:cs="宋体"/>
                <w:kern w:val="0"/>
                <w:sz w:val="24"/>
                <w:szCs w:val="24"/>
                <w:lang w:val="en-US" w:eastAsia="zh-CN"/>
              </w:rPr>
              <w:t>高配房</w:t>
            </w:r>
          </w:p>
        </w:tc>
        <w:tc>
          <w:tcPr>
            <w:tcW w:w="122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800</w:t>
            </w:r>
          </w:p>
        </w:tc>
        <w:tc>
          <w:tcPr>
            <w:tcW w:w="839"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1</w:t>
            </w:r>
          </w:p>
        </w:tc>
        <w:tc>
          <w:tcPr>
            <w:tcW w:w="3042" w:type="dxa"/>
            <w:tcBorders>
              <w:top w:val="nil"/>
              <w:left w:val="nil"/>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教育</w:t>
            </w:r>
            <w:r>
              <w:rPr>
                <w:rFonts w:hint="eastAsia" w:ascii="宋体" w:hAnsi="宋体" w:cs="宋体"/>
                <w:kern w:val="0"/>
                <w:sz w:val="24"/>
                <w:szCs w:val="24"/>
                <w:lang w:val="en-US" w:eastAsia="zh-CN"/>
              </w:rPr>
              <w:t>a、b楼</w:t>
            </w:r>
          </w:p>
        </w:tc>
      </w:tr>
      <w:tr>
        <w:tblPrEx>
          <w:tblCellMar>
            <w:top w:w="0" w:type="dxa"/>
            <w:left w:w="108" w:type="dxa"/>
            <w:bottom w:w="0" w:type="dxa"/>
            <w:right w:w="108" w:type="dxa"/>
          </w:tblCellMar>
        </w:tblPrEx>
        <w:trPr>
          <w:trHeight w:val="435" w:hRule="atLeast"/>
        </w:trPr>
        <w:tc>
          <w:tcPr>
            <w:tcW w:w="590"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2823"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校区</w:t>
            </w:r>
            <w:r>
              <w:rPr>
                <w:rFonts w:hint="eastAsia" w:ascii="宋体" w:hAnsi="宋体" w:eastAsia="宋体" w:cs="宋体"/>
                <w:kern w:val="0"/>
                <w:sz w:val="24"/>
                <w:szCs w:val="24"/>
              </w:rPr>
              <w:t>（</w:t>
            </w:r>
            <w:r>
              <w:rPr>
                <w:rFonts w:hint="eastAsia" w:ascii="宋体" w:hAnsi="宋体" w:cs="宋体"/>
                <w:kern w:val="0"/>
                <w:sz w:val="24"/>
                <w:szCs w:val="24"/>
                <w:lang w:val="en-US" w:eastAsia="zh-CN"/>
              </w:rPr>
              <w:t>教学D楼</w:t>
            </w:r>
            <w:r>
              <w:rPr>
                <w:rFonts w:hint="eastAsia" w:ascii="宋体" w:hAnsi="宋体" w:eastAsia="宋体" w:cs="宋体"/>
                <w:kern w:val="0"/>
                <w:sz w:val="24"/>
                <w:szCs w:val="24"/>
              </w:rPr>
              <w:t>）</w:t>
            </w:r>
            <w:r>
              <w:rPr>
                <w:rFonts w:hint="eastAsia" w:ascii="宋体" w:hAnsi="宋体" w:cs="宋体"/>
                <w:kern w:val="0"/>
                <w:sz w:val="24"/>
                <w:szCs w:val="24"/>
                <w:lang w:val="en-US" w:eastAsia="zh-CN"/>
              </w:rPr>
              <w:t>高配房</w:t>
            </w:r>
          </w:p>
        </w:tc>
        <w:tc>
          <w:tcPr>
            <w:tcW w:w="1228"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1000</w:t>
            </w:r>
          </w:p>
        </w:tc>
        <w:tc>
          <w:tcPr>
            <w:tcW w:w="839"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3042" w:type="dxa"/>
            <w:tcBorders>
              <w:top w:val="nil"/>
              <w:left w:val="nil"/>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实验南、中、北楼</w:t>
            </w:r>
            <w:r>
              <w:rPr>
                <w:rFonts w:hint="eastAsia" w:ascii="宋体" w:hAnsi="宋体" w:cs="宋体"/>
                <w:kern w:val="0"/>
                <w:sz w:val="24"/>
                <w:szCs w:val="24"/>
                <w:lang w:val="en-US" w:eastAsia="zh-CN"/>
              </w:rPr>
              <w:t>.教育c、d楼.图书馆.南门传达室</w:t>
            </w:r>
          </w:p>
        </w:tc>
      </w:tr>
    </w:tbl>
    <w:p>
      <w:pPr>
        <w:spacing w:line="360" w:lineRule="auto"/>
        <w:ind w:firstLine="482" w:firstLineChars="200"/>
        <w:rPr>
          <w:rFonts w:hint="eastAsia" w:ascii="宋体" w:hAnsi="宋体" w:eastAsia="宋体" w:cs="宋体"/>
          <w:b/>
          <w:sz w:val="24"/>
          <w:szCs w:val="24"/>
        </w:rPr>
      </w:pPr>
    </w:p>
    <w:p>
      <w:pPr>
        <w:tabs>
          <w:tab w:val="left" w:pos="1333"/>
        </w:tabs>
        <w:spacing w:line="360" w:lineRule="auto"/>
        <w:ind w:firstLine="482" w:firstLineChars="200"/>
        <w:rPr>
          <w:rFonts w:hint="eastAsia" w:ascii="宋体" w:hAnsi="宋体" w:eastAsia="宋体" w:cs="宋体"/>
          <w:b/>
          <w:sz w:val="24"/>
          <w:szCs w:val="24"/>
        </w:rPr>
      </w:pPr>
      <w:r>
        <w:rPr>
          <w:rFonts w:hint="eastAsia" w:ascii="宋体" w:hAnsi="宋体" w:cs="宋体"/>
          <w:b/>
          <w:sz w:val="24"/>
          <w:szCs w:val="24"/>
          <w:lang w:eastAsia="zh-CN"/>
        </w:rPr>
        <w:tab/>
      </w:r>
    </w:p>
    <w:p>
      <w:pPr>
        <w:spacing w:line="360" w:lineRule="auto"/>
        <w:ind w:firstLine="482" w:firstLineChars="200"/>
        <w:rPr>
          <w:rFonts w:hint="eastAsia" w:ascii="宋体" w:hAnsi="宋体" w:eastAsia="宋体" w:cs="宋体"/>
          <w:b/>
          <w:sz w:val="24"/>
          <w:szCs w:val="24"/>
        </w:rPr>
      </w:pPr>
      <w:r>
        <w:rPr>
          <w:rFonts w:hint="eastAsia" w:ascii="宋体" w:hAnsi="宋体" w:cs="宋体"/>
          <w:b/>
          <w:sz w:val="24"/>
          <w:szCs w:val="24"/>
          <w:lang w:val="en-US" w:eastAsia="zh-CN"/>
        </w:rPr>
        <w:t>2、</w:t>
      </w:r>
      <w:r>
        <w:rPr>
          <w:rFonts w:hint="eastAsia" w:ascii="宋体" w:hAnsi="宋体" w:eastAsia="宋体" w:cs="宋体"/>
          <w:b/>
          <w:sz w:val="24"/>
          <w:szCs w:val="24"/>
        </w:rPr>
        <w:t>设备清单：</w:t>
      </w:r>
    </w:p>
    <w:tbl>
      <w:tblPr>
        <w:tblStyle w:val="6"/>
        <w:tblW w:w="8522" w:type="dxa"/>
        <w:tblInd w:w="0" w:type="dxa"/>
        <w:tblLayout w:type="fixed"/>
        <w:tblCellMar>
          <w:top w:w="0" w:type="dxa"/>
          <w:left w:w="108" w:type="dxa"/>
          <w:bottom w:w="0" w:type="dxa"/>
          <w:right w:w="108" w:type="dxa"/>
        </w:tblCellMar>
      </w:tblPr>
      <w:tblGrid>
        <w:gridCol w:w="597"/>
        <w:gridCol w:w="2592"/>
        <w:gridCol w:w="1605"/>
        <w:gridCol w:w="1601"/>
        <w:gridCol w:w="2127"/>
      </w:tblGrid>
      <w:tr>
        <w:tblPrEx>
          <w:tblCellMar>
            <w:top w:w="0" w:type="dxa"/>
            <w:left w:w="108" w:type="dxa"/>
            <w:bottom w:w="0" w:type="dxa"/>
            <w:right w:w="108" w:type="dxa"/>
          </w:tblCellMar>
        </w:tblPrEx>
        <w:trPr>
          <w:trHeight w:val="475" w:hRule="atLeast"/>
        </w:trPr>
        <w:tc>
          <w:tcPr>
            <w:tcW w:w="59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53" w:leftChars="-25" w:right="-53" w:rightChars="-25"/>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2592" w:type="dxa"/>
            <w:tcBorders>
              <w:top w:val="single" w:color="auto" w:sz="4" w:space="0"/>
              <w:left w:val="nil"/>
              <w:bottom w:val="single" w:color="auto" w:sz="4" w:space="0"/>
              <w:right w:val="single" w:color="auto" w:sz="4" w:space="0"/>
            </w:tcBorders>
            <w:noWrap w:val="0"/>
            <w:vAlign w:val="center"/>
          </w:tcPr>
          <w:p>
            <w:pPr>
              <w:widowControl/>
              <w:spacing w:line="360" w:lineRule="auto"/>
              <w:ind w:left="-53" w:leftChars="-25" w:right="-53" w:rightChars="-25"/>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楼栋</w:t>
            </w:r>
          </w:p>
        </w:tc>
        <w:tc>
          <w:tcPr>
            <w:tcW w:w="1605" w:type="dxa"/>
            <w:tcBorders>
              <w:top w:val="single" w:color="auto" w:sz="4" w:space="0"/>
              <w:left w:val="nil"/>
              <w:bottom w:val="single" w:color="auto" w:sz="4" w:space="0"/>
              <w:right w:val="single" w:color="auto" w:sz="4" w:space="0"/>
            </w:tcBorders>
            <w:noWrap w:val="0"/>
            <w:vAlign w:val="center"/>
          </w:tcPr>
          <w:p>
            <w:pPr>
              <w:widowControl/>
              <w:spacing w:line="360" w:lineRule="auto"/>
              <w:ind w:left="-53" w:leftChars="-25" w:right="-53" w:rightChars="-25"/>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10KV进线柜、环网柜、中置柜数量</w:t>
            </w:r>
          </w:p>
        </w:tc>
        <w:tc>
          <w:tcPr>
            <w:tcW w:w="16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53" w:leftChars="-25" w:right="-53" w:rightChars="-25"/>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出线柜、电容柜、联络柜数量</w:t>
            </w:r>
          </w:p>
        </w:tc>
        <w:tc>
          <w:tcPr>
            <w:tcW w:w="2127" w:type="dxa"/>
            <w:tcBorders>
              <w:top w:val="single" w:color="auto" w:sz="4" w:space="0"/>
              <w:left w:val="nil"/>
              <w:bottom w:val="single" w:color="auto" w:sz="4" w:space="0"/>
              <w:right w:val="single" w:color="auto" w:sz="4" w:space="0"/>
            </w:tcBorders>
            <w:noWrap w:val="0"/>
            <w:vAlign w:val="center"/>
          </w:tcPr>
          <w:p>
            <w:pPr>
              <w:widowControl/>
              <w:spacing w:line="360" w:lineRule="auto"/>
              <w:ind w:left="-53" w:leftChars="-25" w:right="-53" w:rightChars="-25"/>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抽屉柜数量</w:t>
            </w:r>
          </w:p>
        </w:tc>
      </w:tr>
      <w:tr>
        <w:tblPrEx>
          <w:tblCellMar>
            <w:top w:w="0" w:type="dxa"/>
            <w:left w:w="108" w:type="dxa"/>
            <w:bottom w:w="0" w:type="dxa"/>
            <w:right w:w="108" w:type="dxa"/>
          </w:tblCellMar>
        </w:tblPrEx>
        <w:trPr>
          <w:trHeight w:val="483" w:hRule="atLeast"/>
        </w:trPr>
        <w:tc>
          <w:tcPr>
            <w:tcW w:w="597"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592" w:type="dxa"/>
            <w:tcBorders>
              <w:top w:val="nil"/>
              <w:left w:val="nil"/>
              <w:bottom w:val="single" w:color="auto" w:sz="4" w:space="0"/>
              <w:right w:val="single" w:color="auto" w:sz="4" w:space="0"/>
            </w:tcBorders>
            <w:noWrap w:val="0"/>
            <w:vAlign w:val="center"/>
          </w:tcPr>
          <w:p>
            <w:pPr>
              <w:widowControl/>
              <w:spacing w:line="360" w:lineRule="auto"/>
              <w:jc w:val="both"/>
              <w:rPr>
                <w:rFonts w:hint="default" w:ascii="宋体" w:hAnsi="宋体" w:eastAsia="宋体" w:cs="宋体"/>
                <w:kern w:val="0"/>
                <w:sz w:val="24"/>
                <w:szCs w:val="24"/>
                <w:lang w:val="en-US"/>
              </w:rPr>
            </w:pPr>
            <w:r>
              <w:rPr>
                <w:rFonts w:hint="eastAsia" w:ascii="宋体" w:hAnsi="宋体" w:cs="宋体"/>
                <w:kern w:val="0"/>
                <w:sz w:val="24"/>
                <w:szCs w:val="24"/>
                <w:lang w:val="en-US" w:eastAsia="zh-CN"/>
              </w:rPr>
              <w:t>生活区1</w:t>
            </w:r>
            <w:r>
              <w:rPr>
                <w:rFonts w:hint="eastAsia" w:ascii="宋体" w:hAnsi="宋体" w:eastAsia="宋体" w:cs="宋体"/>
                <w:kern w:val="0"/>
                <w:sz w:val="24"/>
                <w:szCs w:val="24"/>
              </w:rPr>
              <w:t>#</w:t>
            </w:r>
            <w:r>
              <w:rPr>
                <w:rFonts w:hint="eastAsia" w:ascii="宋体" w:hAnsi="宋体" w:cs="宋体"/>
                <w:kern w:val="0"/>
                <w:sz w:val="24"/>
                <w:szCs w:val="24"/>
                <w:lang w:val="en-US" w:eastAsia="zh-CN"/>
              </w:rPr>
              <w:t>高配房(总配)</w:t>
            </w:r>
          </w:p>
        </w:tc>
        <w:tc>
          <w:tcPr>
            <w:tcW w:w="1605"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12</w:t>
            </w:r>
          </w:p>
        </w:tc>
        <w:tc>
          <w:tcPr>
            <w:tcW w:w="160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9</w:t>
            </w:r>
          </w:p>
        </w:tc>
        <w:tc>
          <w:tcPr>
            <w:tcW w:w="2127"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20</w:t>
            </w:r>
          </w:p>
        </w:tc>
      </w:tr>
      <w:tr>
        <w:tblPrEx>
          <w:tblCellMar>
            <w:top w:w="0" w:type="dxa"/>
            <w:left w:w="108" w:type="dxa"/>
            <w:bottom w:w="0" w:type="dxa"/>
            <w:right w:w="108" w:type="dxa"/>
          </w:tblCellMar>
        </w:tblPrEx>
        <w:trPr>
          <w:trHeight w:val="454" w:hRule="atLeast"/>
        </w:trPr>
        <w:tc>
          <w:tcPr>
            <w:tcW w:w="597"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592"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生活区2</w:t>
            </w:r>
            <w:r>
              <w:rPr>
                <w:rFonts w:hint="eastAsia" w:ascii="宋体" w:hAnsi="宋体" w:eastAsia="宋体" w:cs="宋体"/>
                <w:kern w:val="0"/>
                <w:sz w:val="24"/>
                <w:szCs w:val="24"/>
              </w:rPr>
              <w:t>#</w:t>
            </w:r>
            <w:r>
              <w:rPr>
                <w:rFonts w:hint="eastAsia" w:ascii="宋体" w:hAnsi="宋体" w:cs="宋体"/>
                <w:kern w:val="0"/>
                <w:sz w:val="24"/>
                <w:szCs w:val="24"/>
                <w:lang w:val="en-US" w:eastAsia="zh-CN"/>
              </w:rPr>
              <w:t>高配房</w:t>
            </w:r>
          </w:p>
        </w:tc>
        <w:tc>
          <w:tcPr>
            <w:tcW w:w="1605"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4</w:t>
            </w:r>
          </w:p>
        </w:tc>
        <w:tc>
          <w:tcPr>
            <w:tcW w:w="160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11</w:t>
            </w:r>
          </w:p>
        </w:tc>
        <w:tc>
          <w:tcPr>
            <w:tcW w:w="2127"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p>
        </w:tc>
      </w:tr>
      <w:tr>
        <w:tblPrEx>
          <w:tblCellMar>
            <w:top w:w="0" w:type="dxa"/>
            <w:left w:w="108" w:type="dxa"/>
            <w:bottom w:w="0" w:type="dxa"/>
            <w:right w:w="108" w:type="dxa"/>
          </w:tblCellMar>
        </w:tblPrEx>
        <w:trPr>
          <w:trHeight w:val="454" w:hRule="atLeast"/>
        </w:trPr>
        <w:tc>
          <w:tcPr>
            <w:tcW w:w="597"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592"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生活区3</w:t>
            </w:r>
            <w:r>
              <w:rPr>
                <w:rFonts w:hint="eastAsia" w:ascii="宋体" w:hAnsi="宋体" w:eastAsia="宋体" w:cs="宋体"/>
                <w:kern w:val="0"/>
                <w:sz w:val="24"/>
                <w:szCs w:val="24"/>
              </w:rPr>
              <w:t>#</w:t>
            </w:r>
            <w:r>
              <w:rPr>
                <w:rFonts w:hint="eastAsia" w:ascii="宋体" w:hAnsi="宋体" w:cs="宋体"/>
                <w:kern w:val="0"/>
                <w:sz w:val="24"/>
                <w:szCs w:val="24"/>
                <w:lang w:val="en-US" w:eastAsia="zh-CN"/>
              </w:rPr>
              <w:t>高配房</w:t>
            </w:r>
          </w:p>
        </w:tc>
        <w:tc>
          <w:tcPr>
            <w:tcW w:w="1605"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4</w:t>
            </w:r>
          </w:p>
        </w:tc>
        <w:tc>
          <w:tcPr>
            <w:tcW w:w="160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13</w:t>
            </w:r>
          </w:p>
        </w:tc>
        <w:tc>
          <w:tcPr>
            <w:tcW w:w="2127"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p>
        </w:tc>
      </w:tr>
      <w:tr>
        <w:tblPrEx>
          <w:tblCellMar>
            <w:top w:w="0" w:type="dxa"/>
            <w:left w:w="108" w:type="dxa"/>
            <w:bottom w:w="0" w:type="dxa"/>
            <w:right w:w="108" w:type="dxa"/>
          </w:tblCellMar>
        </w:tblPrEx>
        <w:trPr>
          <w:trHeight w:val="318" w:hRule="atLeast"/>
        </w:trPr>
        <w:tc>
          <w:tcPr>
            <w:tcW w:w="597"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592"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4</w:t>
            </w:r>
            <w:r>
              <w:rPr>
                <w:rFonts w:hint="eastAsia" w:ascii="宋体" w:hAnsi="宋体" w:eastAsia="宋体" w:cs="宋体"/>
                <w:kern w:val="0"/>
                <w:sz w:val="24"/>
                <w:szCs w:val="24"/>
              </w:rPr>
              <w:t>#（</w:t>
            </w:r>
            <w:r>
              <w:rPr>
                <w:rFonts w:hint="eastAsia" w:ascii="宋体" w:hAnsi="宋体" w:cs="宋体"/>
                <w:kern w:val="0"/>
                <w:sz w:val="24"/>
                <w:szCs w:val="24"/>
                <w:lang w:val="en-US" w:eastAsia="zh-CN"/>
              </w:rPr>
              <w:t>河长大厦</w:t>
            </w:r>
            <w:r>
              <w:rPr>
                <w:rFonts w:hint="eastAsia" w:ascii="宋体" w:hAnsi="宋体" w:eastAsia="宋体" w:cs="宋体"/>
                <w:kern w:val="0"/>
                <w:sz w:val="24"/>
                <w:szCs w:val="24"/>
              </w:rPr>
              <w:t>）</w:t>
            </w:r>
            <w:r>
              <w:rPr>
                <w:rFonts w:hint="eastAsia" w:ascii="宋体" w:hAnsi="宋体" w:cs="宋体"/>
                <w:kern w:val="0"/>
                <w:sz w:val="24"/>
                <w:szCs w:val="24"/>
                <w:lang w:val="en-US" w:eastAsia="zh-CN"/>
              </w:rPr>
              <w:t>高配房</w:t>
            </w:r>
          </w:p>
        </w:tc>
        <w:tc>
          <w:tcPr>
            <w:tcW w:w="1605"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4</w:t>
            </w:r>
          </w:p>
        </w:tc>
        <w:tc>
          <w:tcPr>
            <w:tcW w:w="160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13</w:t>
            </w:r>
          </w:p>
        </w:tc>
        <w:tc>
          <w:tcPr>
            <w:tcW w:w="2127"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28</w:t>
            </w:r>
          </w:p>
        </w:tc>
      </w:tr>
      <w:tr>
        <w:tblPrEx>
          <w:tblCellMar>
            <w:top w:w="0" w:type="dxa"/>
            <w:left w:w="108" w:type="dxa"/>
            <w:bottom w:w="0" w:type="dxa"/>
            <w:right w:w="108" w:type="dxa"/>
          </w:tblCellMar>
        </w:tblPrEx>
        <w:trPr>
          <w:trHeight w:val="454" w:hRule="atLeast"/>
        </w:trPr>
        <w:tc>
          <w:tcPr>
            <w:tcW w:w="597"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592" w:type="dxa"/>
            <w:tcBorders>
              <w:top w:val="nil"/>
              <w:left w:val="nil"/>
              <w:bottom w:val="single" w:color="auto" w:sz="4" w:space="0"/>
              <w:right w:val="single" w:color="auto" w:sz="4" w:space="0"/>
            </w:tcBorders>
            <w:noWrap w:val="0"/>
            <w:vAlign w:val="center"/>
          </w:tcPr>
          <w:p>
            <w:pPr>
              <w:widowControl/>
              <w:spacing w:line="360" w:lineRule="auto"/>
              <w:jc w:val="center"/>
              <w:rPr>
                <w:rFonts w:hint="default" w:ascii="宋体" w:hAnsi="宋体" w:eastAsia="宋体" w:cs="宋体"/>
                <w:kern w:val="0"/>
                <w:sz w:val="24"/>
                <w:szCs w:val="24"/>
                <w:lang w:val="en-US"/>
              </w:rPr>
            </w:pPr>
            <w:r>
              <w:rPr>
                <w:rFonts w:hint="eastAsia" w:ascii="宋体" w:hAnsi="宋体" w:cs="宋体"/>
                <w:kern w:val="0"/>
                <w:sz w:val="24"/>
                <w:szCs w:val="24"/>
                <w:lang w:val="en-US" w:eastAsia="zh-CN"/>
              </w:rPr>
              <w:t>校区现教北楼高配房(总配)</w:t>
            </w:r>
          </w:p>
        </w:tc>
        <w:tc>
          <w:tcPr>
            <w:tcW w:w="1605"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11</w:t>
            </w:r>
          </w:p>
        </w:tc>
        <w:tc>
          <w:tcPr>
            <w:tcW w:w="160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11</w:t>
            </w:r>
          </w:p>
        </w:tc>
        <w:tc>
          <w:tcPr>
            <w:tcW w:w="2127"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34</w:t>
            </w:r>
          </w:p>
        </w:tc>
      </w:tr>
      <w:tr>
        <w:tblPrEx>
          <w:tblCellMar>
            <w:top w:w="0" w:type="dxa"/>
            <w:left w:w="108" w:type="dxa"/>
            <w:bottom w:w="0" w:type="dxa"/>
            <w:right w:w="108" w:type="dxa"/>
          </w:tblCellMar>
        </w:tblPrEx>
        <w:trPr>
          <w:trHeight w:val="454" w:hRule="atLeast"/>
        </w:trPr>
        <w:tc>
          <w:tcPr>
            <w:tcW w:w="597"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592"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eastAsia="zh-CN"/>
              </w:rPr>
              <w:t>校区综合</w:t>
            </w:r>
            <w:r>
              <w:rPr>
                <w:rFonts w:hint="eastAsia" w:ascii="宋体" w:hAnsi="宋体" w:eastAsia="宋体" w:cs="宋体"/>
                <w:kern w:val="0"/>
                <w:sz w:val="24"/>
                <w:szCs w:val="24"/>
              </w:rPr>
              <w:t>楼</w:t>
            </w:r>
            <w:r>
              <w:rPr>
                <w:rFonts w:hint="eastAsia" w:ascii="宋体" w:hAnsi="宋体" w:cs="宋体"/>
                <w:kern w:val="0"/>
                <w:sz w:val="24"/>
                <w:szCs w:val="24"/>
                <w:lang w:val="en-US" w:eastAsia="zh-CN"/>
              </w:rPr>
              <w:t>高配房</w:t>
            </w:r>
          </w:p>
        </w:tc>
        <w:tc>
          <w:tcPr>
            <w:tcW w:w="1605"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4</w:t>
            </w:r>
          </w:p>
        </w:tc>
        <w:tc>
          <w:tcPr>
            <w:tcW w:w="160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14</w:t>
            </w:r>
          </w:p>
        </w:tc>
        <w:tc>
          <w:tcPr>
            <w:tcW w:w="2127"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48</w:t>
            </w:r>
          </w:p>
        </w:tc>
      </w:tr>
      <w:tr>
        <w:tblPrEx>
          <w:tblCellMar>
            <w:top w:w="0" w:type="dxa"/>
            <w:left w:w="108" w:type="dxa"/>
            <w:bottom w:w="0" w:type="dxa"/>
            <w:right w:w="108" w:type="dxa"/>
          </w:tblCellMar>
        </w:tblPrEx>
        <w:trPr>
          <w:trHeight w:val="454" w:hRule="atLeast"/>
        </w:trPr>
        <w:tc>
          <w:tcPr>
            <w:tcW w:w="597"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2592"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校区教学B楼高配房</w:t>
            </w:r>
          </w:p>
        </w:tc>
        <w:tc>
          <w:tcPr>
            <w:tcW w:w="1605"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2</w:t>
            </w:r>
          </w:p>
        </w:tc>
        <w:tc>
          <w:tcPr>
            <w:tcW w:w="1601"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5</w:t>
            </w:r>
          </w:p>
        </w:tc>
        <w:tc>
          <w:tcPr>
            <w:tcW w:w="2127"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8</w:t>
            </w:r>
          </w:p>
        </w:tc>
      </w:tr>
      <w:tr>
        <w:tblPrEx>
          <w:tblCellMar>
            <w:top w:w="0" w:type="dxa"/>
            <w:left w:w="108" w:type="dxa"/>
            <w:bottom w:w="0" w:type="dxa"/>
            <w:right w:w="108" w:type="dxa"/>
          </w:tblCellMar>
        </w:tblPrEx>
        <w:trPr>
          <w:trHeight w:val="454" w:hRule="atLeast"/>
        </w:trPr>
        <w:tc>
          <w:tcPr>
            <w:tcW w:w="597" w:type="dxa"/>
            <w:tcBorders>
              <w:top w:val="nil"/>
              <w:left w:val="single" w:color="auto" w:sz="4" w:space="0"/>
              <w:bottom w:val="nil"/>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2592" w:type="dxa"/>
            <w:tcBorders>
              <w:top w:val="nil"/>
              <w:left w:val="nil"/>
              <w:bottom w:val="nil"/>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cs="宋体"/>
                <w:kern w:val="0"/>
                <w:sz w:val="24"/>
                <w:szCs w:val="24"/>
                <w:lang w:val="en-US" w:eastAsia="zh-CN"/>
              </w:rPr>
              <w:t>校区教学D楼高配房</w:t>
            </w:r>
          </w:p>
        </w:tc>
        <w:tc>
          <w:tcPr>
            <w:tcW w:w="1605"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4</w:t>
            </w:r>
          </w:p>
        </w:tc>
        <w:tc>
          <w:tcPr>
            <w:tcW w:w="1601" w:type="dxa"/>
            <w:tcBorders>
              <w:top w:val="nil"/>
              <w:left w:val="single" w:color="auto" w:sz="4" w:space="0"/>
              <w:bottom w:val="nil"/>
              <w:right w:val="single" w:color="auto" w:sz="4" w:space="0"/>
            </w:tcBorders>
            <w:noWrap w:val="0"/>
            <w:vAlign w:val="center"/>
          </w:tcPr>
          <w:p>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11</w:t>
            </w:r>
          </w:p>
        </w:tc>
        <w:tc>
          <w:tcPr>
            <w:tcW w:w="2127" w:type="dxa"/>
            <w:tcBorders>
              <w:top w:val="nil"/>
              <w:left w:val="nil"/>
              <w:bottom w:val="nil"/>
              <w:right w:val="single" w:color="auto" w:sz="4" w:space="0"/>
            </w:tcBorders>
            <w:noWrap w:val="0"/>
            <w:vAlign w:val="center"/>
          </w:tcPr>
          <w:p>
            <w:pPr>
              <w:widowControl/>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27</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cs="宋体"/>
          <w:b/>
          <w:sz w:val="24"/>
          <w:szCs w:val="24"/>
          <w:lang w:val="en-US" w:eastAsia="zh-CN"/>
        </w:rPr>
        <w:t>五、</w:t>
      </w:r>
      <w:r>
        <w:rPr>
          <w:rFonts w:hint="eastAsia" w:ascii="宋体" w:hAnsi="宋体" w:eastAsia="宋体" w:cs="宋体"/>
          <w:b/>
          <w:sz w:val="24"/>
          <w:szCs w:val="24"/>
        </w:rPr>
        <w:t>高低压预防性试验、维保服务设备主要包括：</w:t>
      </w:r>
      <w:r>
        <w:rPr>
          <w:rFonts w:hint="eastAsia" w:ascii="宋体" w:hAnsi="宋体" w:eastAsia="宋体" w:cs="宋体"/>
          <w:sz w:val="24"/>
          <w:szCs w:val="24"/>
        </w:rPr>
        <w:t>电力变压器、进出线电力电缆、断路器、隔离手车（环网柜）、避雷器、电流/电压互感器、高低压母线、接地电阻继电保护装置、中央信号装置、开关设备、电容器、接地装置、电力安全工器具、线路标识（包括标识物更换）及其辅助设施等等，主要明细如下</w:t>
      </w:r>
      <w:r>
        <w:rPr>
          <w:rFonts w:hint="eastAsia" w:ascii="宋体" w:hAnsi="宋体" w:cs="宋体"/>
          <w:sz w:val="24"/>
          <w:szCs w:val="24"/>
          <w:lang w:eastAsia="zh-CN"/>
        </w:rPr>
        <w:t>表</w:t>
      </w:r>
      <w:r>
        <w:rPr>
          <w:rFonts w:hint="eastAsia" w:ascii="宋体" w:hAnsi="宋体" w:eastAsia="宋体" w:cs="宋体"/>
          <w:sz w:val="24"/>
          <w:szCs w:val="24"/>
        </w:rPr>
        <w:t>（</w:t>
      </w:r>
      <w:r>
        <w:rPr>
          <w:rFonts w:hint="eastAsia" w:ascii="宋体" w:hAnsi="宋体" w:eastAsia="宋体" w:cs="宋体"/>
          <w:b/>
          <w:sz w:val="24"/>
          <w:szCs w:val="24"/>
        </w:rPr>
        <w:t>招标文件仅罗列了主要设备的主要工作内容，投标单位需根据学校配电房及电气系统的实际情况和需求，踏勘现场后，按照采购人电力设备、设施的实际数量、规格、型号，进行报价</w:t>
      </w:r>
      <w:r>
        <w:rPr>
          <w:rFonts w:hint="eastAsia" w:ascii="宋体" w:hAnsi="宋体" w:eastAsia="宋体" w:cs="宋体"/>
          <w:sz w:val="24"/>
          <w:szCs w:val="24"/>
        </w:rPr>
        <w:t>）</w:t>
      </w:r>
    </w:p>
    <w:p>
      <w:pPr>
        <w:numPr>
          <w:ilvl w:val="0"/>
          <w:numId w:val="0"/>
        </w:numPr>
        <w:spacing w:line="360" w:lineRule="auto"/>
        <w:rPr>
          <w:rFonts w:hint="eastAsia" w:ascii="宋体" w:hAnsi="宋体" w:eastAsia="宋体" w:cs="宋体"/>
          <w:sz w:val="24"/>
          <w:szCs w:val="24"/>
        </w:rPr>
      </w:pPr>
    </w:p>
    <w:p>
      <w:pPr>
        <w:spacing w:line="360" w:lineRule="auto"/>
        <w:ind w:firstLine="482" w:firstLineChars="200"/>
        <w:rPr>
          <w:rFonts w:hint="eastAsia" w:ascii="宋体" w:hAnsi="宋体" w:eastAsia="宋体" w:cs="宋体"/>
          <w:b/>
          <w:sz w:val="24"/>
          <w:szCs w:val="24"/>
        </w:rPr>
      </w:pPr>
      <w:r>
        <w:rPr>
          <w:rFonts w:hint="eastAsia" w:ascii="宋体" w:hAnsi="宋体" w:cs="宋体"/>
          <w:b/>
          <w:sz w:val="24"/>
          <w:szCs w:val="24"/>
          <w:lang w:val="en-US" w:eastAsia="zh-CN"/>
        </w:rPr>
        <w:t>六、</w:t>
      </w:r>
      <w:r>
        <w:rPr>
          <w:rFonts w:hint="eastAsia" w:ascii="宋体" w:hAnsi="宋体" w:eastAsia="宋体" w:cs="宋体"/>
          <w:b/>
          <w:sz w:val="24"/>
          <w:szCs w:val="24"/>
        </w:rPr>
        <w:t>高低压预防性试验、维保服务要求明细表：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745"/>
        <w:gridCol w:w="4245"/>
        <w:gridCol w:w="629"/>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b/>
                <w:sz w:val="18"/>
                <w:szCs w:val="18"/>
              </w:rPr>
            </w:pPr>
            <w:r>
              <w:rPr>
                <w:rFonts w:hint="eastAsia" w:ascii="宋体" w:hAnsi="宋体" w:eastAsia="宋体" w:cs="宋体"/>
                <w:b/>
                <w:sz w:val="18"/>
                <w:szCs w:val="18"/>
              </w:rPr>
              <w:t>设备名称</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b/>
                <w:sz w:val="18"/>
                <w:szCs w:val="18"/>
              </w:rPr>
            </w:pPr>
            <w:r>
              <w:rPr>
                <w:rFonts w:hint="eastAsia" w:ascii="宋体" w:hAnsi="宋体" w:eastAsia="宋体" w:cs="宋体"/>
                <w:b/>
                <w:sz w:val="18"/>
                <w:szCs w:val="18"/>
              </w:rPr>
              <w:t>项目</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b/>
                <w:sz w:val="18"/>
                <w:szCs w:val="18"/>
              </w:rPr>
            </w:pPr>
            <w:r>
              <w:rPr>
                <w:rFonts w:hint="eastAsia" w:ascii="宋体" w:hAnsi="宋体" w:eastAsia="宋体" w:cs="宋体"/>
                <w:b/>
                <w:sz w:val="18"/>
                <w:szCs w:val="18"/>
              </w:rPr>
              <w:t>工作内容</w:t>
            </w:r>
          </w:p>
        </w:tc>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b/>
                <w:sz w:val="18"/>
                <w:szCs w:val="18"/>
              </w:rPr>
            </w:pPr>
            <w:r>
              <w:rPr>
                <w:rFonts w:hint="eastAsia" w:ascii="宋体" w:hAnsi="宋体" w:eastAsia="宋体" w:cs="宋体"/>
                <w:b/>
                <w:sz w:val="18"/>
                <w:szCs w:val="18"/>
              </w:rPr>
              <w:t>频率</w:t>
            </w:r>
          </w:p>
        </w:tc>
        <w:tc>
          <w:tcPr>
            <w:tcW w:w="21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b/>
                <w:sz w:val="18"/>
                <w:szCs w:val="18"/>
              </w:rPr>
            </w:pPr>
            <w:r>
              <w:rPr>
                <w:rFonts w:hint="eastAsia" w:ascii="宋体" w:hAnsi="宋体" w:eastAsia="宋体" w:cs="宋体"/>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电力</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变压器</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检查</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1.检查浇注型绕组和相间连接线有无积尘、有无龟裂、变色、放电现象；</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2.检查绕组压紧装置有无松动；</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3.检查铁芯风道有无灰尘异物堵塞，有无生锈或腐蚀现象；</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4.检查温控装置是否正常；</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5.检查冷却装置包括电动机，风扇是否良好；</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6.检查有无局部过热现象；</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7.检查调压压板位置；</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8.变压器的接地必须可靠；</w:t>
            </w:r>
          </w:p>
        </w:tc>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每月一次</w:t>
            </w:r>
          </w:p>
        </w:tc>
        <w:tc>
          <w:tcPr>
            <w:tcW w:w="212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p>
          <w:p>
            <w:pPr>
              <w:spacing w:line="360" w:lineRule="auto"/>
              <w:jc w:val="both"/>
              <w:rPr>
                <w:rFonts w:hint="eastAsia" w:ascii="宋体" w:hAnsi="宋体" w:eastAsia="宋体" w:cs="宋体"/>
                <w:sz w:val="18"/>
                <w:szCs w:val="18"/>
              </w:rPr>
            </w:pPr>
          </w:p>
          <w:p>
            <w:pPr>
              <w:spacing w:line="360" w:lineRule="auto"/>
              <w:jc w:val="both"/>
              <w:rPr>
                <w:rFonts w:hint="eastAsia" w:ascii="宋体" w:hAnsi="宋体" w:eastAsia="宋体" w:cs="宋体"/>
                <w:sz w:val="18"/>
                <w:szCs w:val="18"/>
              </w:rPr>
            </w:pPr>
          </w:p>
          <w:p>
            <w:pPr>
              <w:spacing w:line="360" w:lineRule="auto"/>
              <w:jc w:val="both"/>
              <w:rPr>
                <w:rFonts w:hint="eastAsia" w:ascii="宋体" w:hAnsi="宋体" w:eastAsia="宋体" w:cs="宋体"/>
                <w:sz w:val="18"/>
                <w:szCs w:val="18"/>
              </w:rPr>
            </w:pPr>
          </w:p>
          <w:p>
            <w:pPr>
              <w:spacing w:line="360" w:lineRule="auto"/>
              <w:jc w:val="both"/>
              <w:rPr>
                <w:rFonts w:hint="eastAsia" w:ascii="宋体" w:hAnsi="宋体" w:eastAsia="宋体" w:cs="宋体"/>
                <w:sz w:val="18"/>
                <w:szCs w:val="18"/>
              </w:rPr>
            </w:pPr>
          </w:p>
          <w:p>
            <w:pPr>
              <w:spacing w:line="360" w:lineRule="auto"/>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维护</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1.整洁清理污秽物；</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2.紧固各部位螺栓；</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3.消除已发现的缺陷；</w:t>
            </w:r>
          </w:p>
        </w:tc>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每年一次</w:t>
            </w:r>
          </w:p>
        </w:tc>
        <w:tc>
          <w:tcPr>
            <w:tcW w:w="21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电气预防性试验</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1.测量绕组的直流电阻；</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2.检查所有分接头的变压比；</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3.检查变压器的三相接线组别；</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4.测量绕组连同套管的绝缘电阻、吸收比；</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5.绕组连同套管的交流耐压试验；</w:t>
            </w:r>
          </w:p>
        </w:tc>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一次</w:t>
            </w:r>
          </w:p>
        </w:tc>
        <w:tc>
          <w:tcPr>
            <w:tcW w:w="21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p>
          <w:p>
            <w:pPr>
              <w:spacing w:line="360" w:lineRule="auto"/>
              <w:jc w:val="both"/>
              <w:rPr>
                <w:rFonts w:hint="eastAsia" w:ascii="宋体" w:hAnsi="宋体" w:eastAsia="宋体" w:cs="宋体"/>
                <w:sz w:val="18"/>
                <w:szCs w:val="18"/>
              </w:rPr>
            </w:pPr>
          </w:p>
          <w:p>
            <w:pPr>
              <w:spacing w:line="360" w:lineRule="auto"/>
              <w:jc w:val="both"/>
              <w:rPr>
                <w:rFonts w:hint="eastAsia" w:ascii="宋体" w:hAnsi="宋体" w:eastAsia="宋体" w:cs="宋体"/>
                <w:sz w:val="18"/>
                <w:szCs w:val="18"/>
              </w:rPr>
            </w:pPr>
          </w:p>
          <w:p>
            <w:pPr>
              <w:spacing w:line="360" w:lineRule="auto"/>
              <w:jc w:val="both"/>
              <w:rPr>
                <w:rFonts w:hint="eastAsia" w:ascii="宋体" w:hAnsi="宋体" w:eastAsia="宋体" w:cs="宋体"/>
                <w:sz w:val="18"/>
                <w:szCs w:val="18"/>
              </w:rPr>
            </w:pP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电力电缆</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检查</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1.电缆本体及电缆头清扫检查；</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2.洞孔封堵检查；</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3.电缆走向标识；</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4.10KV线路巡视；</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5.室内外电缆沟、井检查；</w:t>
            </w:r>
          </w:p>
        </w:tc>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每年一次</w:t>
            </w:r>
          </w:p>
        </w:tc>
        <w:tc>
          <w:tcPr>
            <w:tcW w:w="212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p>
          <w:p>
            <w:pPr>
              <w:spacing w:line="360" w:lineRule="auto"/>
              <w:jc w:val="both"/>
              <w:rPr>
                <w:rFonts w:hint="eastAsia" w:ascii="宋体" w:hAnsi="宋体" w:eastAsia="宋体" w:cs="宋体"/>
                <w:sz w:val="18"/>
                <w:szCs w:val="18"/>
              </w:rPr>
            </w:pPr>
          </w:p>
          <w:p>
            <w:pPr>
              <w:spacing w:line="360" w:lineRule="auto"/>
              <w:jc w:val="both"/>
              <w:rPr>
                <w:rFonts w:hint="eastAsia" w:ascii="宋体" w:hAnsi="宋体" w:eastAsia="宋体" w:cs="宋体"/>
                <w:sz w:val="18"/>
                <w:szCs w:val="18"/>
              </w:rPr>
            </w:pPr>
          </w:p>
          <w:p>
            <w:pPr>
              <w:spacing w:line="360" w:lineRule="auto"/>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维护</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1.整理清理污秽物；</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2.紧固各部位螺栓；</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3.消除已发现的缺陷；</w:t>
            </w:r>
          </w:p>
        </w:tc>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每年一次</w:t>
            </w:r>
          </w:p>
        </w:tc>
        <w:tc>
          <w:tcPr>
            <w:tcW w:w="21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电气预防性试验</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1.测量绝缘电阻；</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2.非破坏性直流耐压试验及泄露电流测量；</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3.相位检查；</w:t>
            </w:r>
          </w:p>
        </w:tc>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每年一次</w:t>
            </w:r>
          </w:p>
        </w:tc>
        <w:tc>
          <w:tcPr>
            <w:tcW w:w="21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低压柜</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检查</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1.接线端子是否有变色；</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2.有无异常响声和气味；</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3.外观有无破损、无震动；</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4.指示灯、表计是否正常</w:t>
            </w:r>
          </w:p>
        </w:tc>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每月一次</w:t>
            </w:r>
          </w:p>
        </w:tc>
        <w:tc>
          <w:tcPr>
            <w:tcW w:w="212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维护</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1.检查抽屉式开关推入或拉出是否灵活，其机械闭锁可靠。</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2.断路器内各刀口弹力是否正常，灭弧栅是否完好。</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3.各电缆头接线螺母应紧固。</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4.将受电柜和联络柜的主开关断电后，用专用摇把摇出或摇入应灵活，各互感器等二次接线头接触良好，紧固无松动，一、二次线无发霉。</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5.低压断路器钥匙互锁是否灵活好用。</w:t>
            </w:r>
          </w:p>
        </w:tc>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每年一次</w:t>
            </w:r>
          </w:p>
        </w:tc>
        <w:tc>
          <w:tcPr>
            <w:tcW w:w="21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电气预防性试验</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1.测量绝缘电阻；</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2.柜体交流耐压试验；</w:t>
            </w:r>
          </w:p>
        </w:tc>
        <w:tc>
          <w:tcPr>
            <w:tcW w:w="6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每年一次</w:t>
            </w:r>
          </w:p>
        </w:tc>
        <w:tc>
          <w:tcPr>
            <w:tcW w:w="21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断路器</w:t>
            </w:r>
          </w:p>
        </w:tc>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检查</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1.挡板机构及闭锁装置检查；</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2.二次回路端子检查紧固；</w:t>
            </w:r>
          </w:p>
        </w:tc>
        <w:tc>
          <w:tcPr>
            <w:tcW w:w="629"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每月一次</w:t>
            </w:r>
          </w:p>
        </w:tc>
        <w:tc>
          <w:tcPr>
            <w:tcW w:w="2129"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维护</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1.整理清理污秽物；</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2.紧固各部位螺栓；</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3.消除已发现的缺陷；</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4.大型断路器日常维护保养、加注润滑油等；</w:t>
            </w:r>
          </w:p>
        </w:tc>
        <w:tc>
          <w:tcPr>
            <w:tcW w:w="629"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每年一次</w:t>
            </w:r>
          </w:p>
        </w:tc>
        <w:tc>
          <w:tcPr>
            <w:tcW w:w="21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电气预防性试验</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1.测量每相导电回路的电阻；</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2.交流耐压试验；</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3.测量断路器的分、合闸时间；</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4.测量断路器主触头分、合闸的同期性；</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5.测量断路器合闸时触头的弹跳时间；</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6.测量分、合闸线圈的绝缘电阻和直流电阻；</w:t>
            </w:r>
          </w:p>
        </w:tc>
        <w:tc>
          <w:tcPr>
            <w:tcW w:w="629"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每年一次</w:t>
            </w:r>
          </w:p>
        </w:tc>
        <w:tc>
          <w:tcPr>
            <w:tcW w:w="21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隔离开关</w:t>
            </w:r>
          </w:p>
        </w:tc>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检查</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1.机构及机械闭锁装置检查；</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2.一次回路检查紧固；</w:t>
            </w:r>
          </w:p>
        </w:tc>
        <w:tc>
          <w:tcPr>
            <w:tcW w:w="629"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每月一次</w:t>
            </w:r>
          </w:p>
        </w:tc>
        <w:tc>
          <w:tcPr>
            <w:tcW w:w="2129"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维护</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1.整理清理污秽物；</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2.紧固各部位螺栓；</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3.消除已发现的缺陷；</w:t>
            </w:r>
          </w:p>
        </w:tc>
        <w:tc>
          <w:tcPr>
            <w:tcW w:w="629"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每年一次</w:t>
            </w:r>
          </w:p>
        </w:tc>
        <w:tc>
          <w:tcPr>
            <w:tcW w:w="21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电气预防性试验</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1.测量绝缘电阻；</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2.交流耐压试验；</w:t>
            </w:r>
          </w:p>
        </w:tc>
        <w:tc>
          <w:tcPr>
            <w:tcW w:w="629"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每年一次</w:t>
            </w:r>
          </w:p>
        </w:tc>
        <w:tc>
          <w:tcPr>
            <w:tcW w:w="21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环网开关柜</w:t>
            </w:r>
          </w:p>
        </w:tc>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检查</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1.检查固体支柱及套管绝缘表面；</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2.检查一次母排连接；</w:t>
            </w:r>
          </w:p>
        </w:tc>
        <w:tc>
          <w:tcPr>
            <w:tcW w:w="629"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每月一次</w:t>
            </w:r>
          </w:p>
        </w:tc>
        <w:tc>
          <w:tcPr>
            <w:tcW w:w="2129"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维护</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1.整理清理污秽物；</w:t>
            </w:r>
          </w:p>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2.紧固各部位螺栓；</w:t>
            </w:r>
          </w:p>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3.消除已发现的缺陷；</w:t>
            </w:r>
          </w:p>
        </w:tc>
        <w:tc>
          <w:tcPr>
            <w:tcW w:w="629"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每年一次</w:t>
            </w:r>
          </w:p>
        </w:tc>
        <w:tc>
          <w:tcPr>
            <w:tcW w:w="21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电气预防性试验</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1.测量绝缘电阻；</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2.柜体交流耐压试验；</w:t>
            </w:r>
          </w:p>
        </w:tc>
        <w:tc>
          <w:tcPr>
            <w:tcW w:w="629"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每年一次</w:t>
            </w:r>
          </w:p>
        </w:tc>
        <w:tc>
          <w:tcPr>
            <w:tcW w:w="21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避雷器</w:t>
            </w:r>
          </w:p>
        </w:tc>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检查</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1.拆接一次、接地引线；</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2.外绝缘外观检查；</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3.检查放电计数器动作情况；</w:t>
            </w:r>
          </w:p>
        </w:tc>
        <w:tc>
          <w:tcPr>
            <w:tcW w:w="629"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每月一次</w:t>
            </w:r>
          </w:p>
        </w:tc>
        <w:tc>
          <w:tcPr>
            <w:tcW w:w="2129"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维护</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1.整理清理污秽物；</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2.紧固各部位螺栓；</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3.消除已发现的缺陷；</w:t>
            </w:r>
          </w:p>
        </w:tc>
        <w:tc>
          <w:tcPr>
            <w:tcW w:w="629"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每年一次</w:t>
            </w:r>
          </w:p>
        </w:tc>
        <w:tc>
          <w:tcPr>
            <w:tcW w:w="21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电气预防性试验</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1.测量绝缘电阻；</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2.直流1mA电压（U1mA）及0.75（U1mA）下的泄漏电流测量；</w:t>
            </w:r>
          </w:p>
        </w:tc>
        <w:tc>
          <w:tcPr>
            <w:tcW w:w="629"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每年一次</w:t>
            </w:r>
          </w:p>
        </w:tc>
        <w:tc>
          <w:tcPr>
            <w:tcW w:w="21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电流/电压互感器</w:t>
            </w:r>
          </w:p>
        </w:tc>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检查</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1.检查固体绝缘表面；</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2.检查一次引线连接；</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3.检查器身及夹件；</w:t>
            </w:r>
          </w:p>
        </w:tc>
        <w:tc>
          <w:tcPr>
            <w:tcW w:w="629"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每月一次</w:t>
            </w:r>
          </w:p>
        </w:tc>
        <w:tc>
          <w:tcPr>
            <w:tcW w:w="2129"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维护</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1.整理清理污秽物；</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2.紧固各部位螺栓；</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3.消除已发现的缺陷；</w:t>
            </w:r>
          </w:p>
        </w:tc>
        <w:tc>
          <w:tcPr>
            <w:tcW w:w="629"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每年一次</w:t>
            </w:r>
          </w:p>
        </w:tc>
        <w:tc>
          <w:tcPr>
            <w:tcW w:w="21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电气预防性试验</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1.测量绕组的绝缘电阻；</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2.测量绕组一次绕组的直流电阻；</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3.绕组连同套管对外壳的交流耐压测试；</w:t>
            </w:r>
          </w:p>
        </w:tc>
        <w:tc>
          <w:tcPr>
            <w:tcW w:w="629"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每年一次</w:t>
            </w:r>
          </w:p>
        </w:tc>
        <w:tc>
          <w:tcPr>
            <w:tcW w:w="21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母线</w:t>
            </w:r>
          </w:p>
        </w:tc>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检查</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1.检查固体支柱及套管绝缘表面；</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2.检查一次母排连接；</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3.检查套管屏蔽线连接；</w:t>
            </w:r>
          </w:p>
        </w:tc>
        <w:tc>
          <w:tcPr>
            <w:tcW w:w="629"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每月一次</w:t>
            </w:r>
          </w:p>
        </w:tc>
        <w:tc>
          <w:tcPr>
            <w:tcW w:w="2129"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维护</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1.整理清理污秽物；</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2.紧固各部位螺栓；</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3.消除已发现的缺陷；</w:t>
            </w:r>
          </w:p>
        </w:tc>
        <w:tc>
          <w:tcPr>
            <w:tcW w:w="629"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每年一次</w:t>
            </w:r>
          </w:p>
        </w:tc>
        <w:tc>
          <w:tcPr>
            <w:tcW w:w="21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电气预防性试验</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1.测量绝缘电阻；</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2.连同套管对外壳的交流耐压测试；</w:t>
            </w:r>
          </w:p>
        </w:tc>
        <w:tc>
          <w:tcPr>
            <w:tcW w:w="629"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两年一次</w:t>
            </w:r>
          </w:p>
        </w:tc>
        <w:tc>
          <w:tcPr>
            <w:tcW w:w="21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接地装置</w:t>
            </w:r>
          </w:p>
        </w:tc>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检查</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1.检查有效电力系统的电力设备接地引下线与接地网的连接情况；</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2.抽样开挖检查变电所地中接地网的腐蚀情况；</w:t>
            </w:r>
          </w:p>
        </w:tc>
        <w:tc>
          <w:tcPr>
            <w:tcW w:w="629"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每月一次</w:t>
            </w:r>
          </w:p>
        </w:tc>
        <w:tc>
          <w:tcPr>
            <w:tcW w:w="2129"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维护</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1.整理清理污秽物；</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2.紧固各部位螺栓；</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3.消除已发现的缺陷；</w:t>
            </w:r>
          </w:p>
        </w:tc>
        <w:tc>
          <w:tcPr>
            <w:tcW w:w="629"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每年一次</w:t>
            </w:r>
          </w:p>
        </w:tc>
        <w:tc>
          <w:tcPr>
            <w:tcW w:w="21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电气预防性试验</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测量接地系统的电力设备的接地电阻；</w:t>
            </w:r>
          </w:p>
        </w:tc>
        <w:tc>
          <w:tcPr>
            <w:tcW w:w="629"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每年一次</w:t>
            </w:r>
          </w:p>
        </w:tc>
        <w:tc>
          <w:tcPr>
            <w:tcW w:w="21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继电保护装置</w:t>
            </w:r>
          </w:p>
        </w:tc>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检查</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1.保护装置电源检查；</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2.绝缘检查；</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3.版本检查；</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4.刻度检查；</w:t>
            </w:r>
          </w:p>
        </w:tc>
        <w:tc>
          <w:tcPr>
            <w:tcW w:w="629"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每月一次</w:t>
            </w:r>
          </w:p>
        </w:tc>
        <w:tc>
          <w:tcPr>
            <w:tcW w:w="2129"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电气预防性试验</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整定及整组保护模拟实验；</w:t>
            </w:r>
          </w:p>
        </w:tc>
        <w:tc>
          <w:tcPr>
            <w:tcW w:w="629"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每年一次</w:t>
            </w:r>
          </w:p>
        </w:tc>
        <w:tc>
          <w:tcPr>
            <w:tcW w:w="21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中央信号装置</w:t>
            </w:r>
          </w:p>
        </w:tc>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检查</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1.装置电源检查；</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2.预告信号回路检查；</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3.事故信号回路检查；</w:t>
            </w:r>
          </w:p>
        </w:tc>
        <w:tc>
          <w:tcPr>
            <w:tcW w:w="629"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每月一次</w:t>
            </w:r>
          </w:p>
        </w:tc>
        <w:tc>
          <w:tcPr>
            <w:tcW w:w="2129"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p>
            <w:pPr>
              <w:tabs>
                <w:tab w:val="center" w:pos="4153"/>
                <w:tab w:val="right" w:pos="8306"/>
              </w:tabs>
              <w:snapToGrid w:val="0"/>
              <w:spacing w:line="360" w:lineRule="auto"/>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电气预防性试验</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整组保护信号模拟实验；</w:t>
            </w:r>
          </w:p>
        </w:tc>
        <w:tc>
          <w:tcPr>
            <w:tcW w:w="629"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每年一次</w:t>
            </w:r>
          </w:p>
        </w:tc>
        <w:tc>
          <w:tcPr>
            <w:tcW w:w="21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交直流屏</w:t>
            </w:r>
          </w:p>
        </w:tc>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检查和维护</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1.箱体、箱体上元器件是否破损、安装松动；</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2.箱体内、外清洁；</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3.能否实现电源输出功能；</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4.各开关标志是否齐全完好；</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5.各接线端子接线紧固；</w:t>
            </w:r>
          </w:p>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6.电池充放电试验；</w:t>
            </w:r>
          </w:p>
        </w:tc>
        <w:tc>
          <w:tcPr>
            <w:tcW w:w="629"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每年一次</w:t>
            </w:r>
          </w:p>
        </w:tc>
        <w:tc>
          <w:tcPr>
            <w:tcW w:w="2129"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电力安全工器具</w:t>
            </w:r>
          </w:p>
        </w:tc>
        <w:tc>
          <w:tcPr>
            <w:tcW w:w="745"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电气预防性试验</w:t>
            </w:r>
          </w:p>
        </w:tc>
        <w:tc>
          <w:tcPr>
            <w:tcW w:w="42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sz w:val="18"/>
                <w:szCs w:val="18"/>
              </w:rPr>
            </w:pPr>
            <w:r>
              <w:rPr>
                <w:rFonts w:hint="eastAsia" w:ascii="宋体" w:hAnsi="宋体" w:eastAsia="宋体" w:cs="宋体"/>
                <w:sz w:val="18"/>
                <w:szCs w:val="18"/>
              </w:rPr>
              <w:t>工频耐压试验</w:t>
            </w:r>
          </w:p>
        </w:tc>
        <w:tc>
          <w:tcPr>
            <w:tcW w:w="629"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按规定执行</w:t>
            </w:r>
          </w:p>
        </w:tc>
        <w:tc>
          <w:tcPr>
            <w:tcW w:w="2129" w:type="dxa"/>
            <w:tcBorders>
              <w:top w:val="single" w:color="auto" w:sz="4" w:space="0"/>
              <w:left w:val="single" w:color="auto" w:sz="4" w:space="0"/>
              <w:bottom w:val="single" w:color="auto" w:sz="4" w:space="0"/>
              <w:right w:val="single" w:color="auto" w:sz="4" w:space="0"/>
            </w:tcBorders>
            <w:noWrap w:val="0"/>
            <w:vAlign w:val="center"/>
          </w:tcPr>
          <w:p>
            <w:pPr>
              <w:tabs>
                <w:tab w:val="center" w:pos="4153"/>
                <w:tab w:val="right" w:pos="8306"/>
              </w:tabs>
              <w:snapToGrid w:val="0"/>
              <w:spacing w:line="360" w:lineRule="auto"/>
              <w:jc w:val="both"/>
              <w:rPr>
                <w:rFonts w:hint="eastAsia" w:ascii="宋体" w:hAnsi="宋体" w:eastAsia="宋体" w:cs="宋体"/>
                <w:sz w:val="18"/>
                <w:szCs w:val="18"/>
              </w:rPr>
            </w:pPr>
            <w:r>
              <w:rPr>
                <w:rFonts w:hint="eastAsia" w:ascii="宋体" w:hAnsi="宋体" w:eastAsia="宋体" w:cs="宋体"/>
                <w:sz w:val="18"/>
                <w:szCs w:val="18"/>
              </w:rPr>
              <w:t>DL/T 1476-2015 《电力安全工器具预防性试验规程》</w:t>
            </w:r>
          </w:p>
        </w:tc>
      </w:tr>
    </w:tbl>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注：其余未列出设施设备的预防性试验和检查维护要求，参照《电力设备高低压预防性试验规程》（DL/T596-1996）和《电气装置安装工程电气设备交接试验标准》（GB50150-2006）等现行规定执行。</w:t>
      </w:r>
    </w:p>
    <w:p>
      <w:pPr>
        <w:spacing w:line="360" w:lineRule="auto"/>
        <w:ind w:firstLine="482" w:firstLineChars="200"/>
        <w:rPr>
          <w:rFonts w:hint="eastAsia" w:ascii="宋体" w:hAnsi="宋体" w:eastAsia="宋体" w:cs="宋体"/>
          <w:b/>
          <w:sz w:val="24"/>
          <w:szCs w:val="24"/>
        </w:rPr>
      </w:pPr>
      <w:r>
        <w:rPr>
          <w:rFonts w:hint="eastAsia" w:ascii="宋体" w:hAnsi="宋体" w:cs="宋体"/>
          <w:b/>
          <w:sz w:val="24"/>
          <w:szCs w:val="24"/>
          <w:lang w:val="en-US" w:eastAsia="zh-CN"/>
        </w:rPr>
        <w:t>七</w:t>
      </w:r>
      <w:r>
        <w:rPr>
          <w:rFonts w:hint="eastAsia" w:ascii="宋体" w:hAnsi="宋体" w:eastAsia="宋体" w:cs="宋体"/>
          <w:b/>
          <w:sz w:val="24"/>
          <w:szCs w:val="24"/>
        </w:rPr>
        <w:t>、报价要求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4.1供应商需根据学校电力设施情况、高低压预防性试验和维保范围，依据国家、行业标准、规范，制定详实、可行的实施方案（工作方案）。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电力设备高低压预防性试验周期在不得低于《电力设备高低压预防性试验规程》（DL/T596-1996）和《电气装置安装工程电气设备交接试验标准》（GB50150-2006）各项条款约定的前提下，在供应商提供维保服务期间，对所有维保电力设备按照国家相关要求进行高低压预防性试验（一般安排在寒暑假期间进行）。所有电力设备高低压预防性试验，变配电房的维护保养和检修工作按照《高低压预防性试验、维保服务要求明细表》执行。</w:t>
      </w:r>
    </w:p>
    <w:p>
      <w:pPr>
        <w:spacing w:line="360" w:lineRule="auto"/>
        <w:ind w:firstLine="480" w:firstLineChars="200"/>
        <w:rPr>
          <w:rFonts w:hint="eastAsia" w:ascii="宋体" w:hAnsi="宋体" w:eastAsia="宋体" w:cs="宋体"/>
          <w:sz w:val="21"/>
          <w:szCs w:val="21"/>
        </w:rPr>
      </w:pPr>
      <w:r>
        <w:rPr>
          <w:rFonts w:hint="eastAsia" w:ascii="宋体" w:hAnsi="宋体" w:eastAsia="宋体" w:cs="宋体"/>
          <w:sz w:val="24"/>
          <w:szCs w:val="24"/>
        </w:rPr>
        <w:t>4.3定期上门巡检：每月定期至少一次上门进行被服务设备专业化的巡回检查工作，每次不得少于2人，相关检查书面内容由甲方主管部门签字认可等，并做好台账。同时，派专人做好采购人在大型会议期间的电力保障工作，切实做好应急抢修工作</w:t>
      </w:r>
      <w:r>
        <w:rPr>
          <w:rFonts w:hint="eastAsia" w:ascii="宋体" w:hAnsi="宋体" w:eastAsia="宋体" w:cs="宋体"/>
          <w:sz w:val="21"/>
          <w:szCs w:val="21"/>
        </w:rPr>
        <w:t>。做好采购人在配电系统改造方面方案制定、施工监管与验收等配合工作。每年不少于2次的红外成像巡检。</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4.4开展高低压预防性试验和维保服务所必备的机具、工具、检测仪表等等，由供应商自备，机具、工具、检测仪表等使用费、摊销费等包含在投标总价内，不另行报价。</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4.5在维保服务期间，供应商接到采购人应急报修电话后需在1小时内赶到故障点，进行及时处理。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4.6在预防试验和维保过程中，供应商若检查出电力设备存在故障，需要维修或更换，则应以联系单方式告知采购人，详细写明故障设备、维修所需材料的规格、型号、品牌、价格等，经校方认可后，更换完毕，采购人管理人员验收后，在联系单上签字确认，作为材料费结算的依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4.7报价说明：服务期限</w:t>
      </w:r>
      <w:r>
        <w:rPr>
          <w:rFonts w:hint="eastAsia" w:ascii="宋体" w:hAnsi="宋体" w:cs="宋体"/>
          <w:sz w:val="24"/>
          <w:szCs w:val="24"/>
          <w:lang w:val="en-US" w:eastAsia="zh-CN"/>
        </w:rPr>
        <w:t>1</w:t>
      </w:r>
      <w:r>
        <w:rPr>
          <w:rFonts w:hint="eastAsia" w:ascii="宋体" w:hAnsi="宋体" w:eastAsia="宋体" w:cs="宋体"/>
          <w:sz w:val="24"/>
          <w:szCs w:val="24"/>
        </w:rPr>
        <w:t>年，采用总价报价方式，即高低压预防性试验和维保服务总价必须包含人工费、车辆使用费、差旅费、规费、风险费、税金、维保所需的机具（工具）及检测仪表的使用费、摊销费、维修材料安装、调试、培训、保修等一切税金和费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高低压预防性试验和维保期间，维修电力设施所需的材料、设备，</w:t>
      </w:r>
      <w:r>
        <w:rPr>
          <w:rFonts w:hint="eastAsia" w:ascii="宋体" w:hAnsi="宋体" w:eastAsia="宋体" w:cs="宋体"/>
          <w:b/>
          <w:sz w:val="24"/>
          <w:szCs w:val="24"/>
        </w:rPr>
        <w:t>请供应商按初次报价一览表（二）要求，填报材料单价、设备单价，★重点说明：所填报的材料单价、设备单价均为含税价。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4.8维修更换的材料费、设备费结算说明：维保服务期间，供应商实际所更换的材料费、设备费，采购人原则上根据供应商按初次报价一览表（二）填报的单价以及双方签证的联系单予以结算。必要时，采购人将组织人员对大件材料或设备进行市场询价，当市场询价结果低于或高于投标材料单价2%（含2%）以上时，则按市场询价结果予以结算；当市场询价结果低于或高于投标材料单价2%以内时，则按投标材料单价予以结算。维修更换的材料费、设备费每2个月结算一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维修更换材料、安装设备所需的人工费、机具使用费等已包含在上述第四条第7款（7、报价说明）投标总价中。</w:t>
      </w:r>
    </w:p>
    <w:p>
      <w:pPr>
        <w:adjustRightInd w:val="0"/>
        <w:spacing w:line="360" w:lineRule="auto"/>
        <w:ind w:firstLine="482" w:firstLineChars="200"/>
        <w:rPr>
          <w:rFonts w:hint="eastAsia" w:ascii="宋体" w:hAnsi="宋体" w:eastAsia="宋体" w:cs="宋体"/>
          <w:b/>
          <w:sz w:val="24"/>
          <w:szCs w:val="24"/>
        </w:rPr>
      </w:pPr>
      <w:bookmarkStart w:id="0" w:name="_Toc44150959"/>
      <w:bookmarkStart w:id="1" w:name="_Toc18402163"/>
      <w:r>
        <w:rPr>
          <w:rFonts w:hint="eastAsia" w:ascii="宋体" w:hAnsi="宋体" w:cs="宋体"/>
          <w:b/>
          <w:sz w:val="24"/>
          <w:szCs w:val="24"/>
          <w:lang w:val="en-US" w:eastAsia="zh-CN"/>
        </w:rPr>
        <w:t>八</w:t>
      </w:r>
      <w:r>
        <w:rPr>
          <w:rFonts w:hint="eastAsia" w:ascii="宋体" w:hAnsi="宋体" w:eastAsia="宋体" w:cs="宋体"/>
          <w:b/>
          <w:sz w:val="24"/>
          <w:szCs w:val="24"/>
        </w:rPr>
        <w:t>、产品标准和规范</w:t>
      </w:r>
      <w:bookmarkEnd w:id="0"/>
      <w:bookmarkEnd w:id="1"/>
    </w:p>
    <w:p>
      <w:pPr>
        <w:pStyle w:val="5"/>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供应商提供的维保服务电气设备必须符合中华人民共和国现行的标准和规范，以及采购人认可的其它的权威标准。</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5.1国家标准及其它被普遍认可的标准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GB311.1～6-83   高压输变设备的绝缘配合，高压试验技术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GB311.7-88      高压输变电设备的绝缘配合使用导则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GB1985-89       交流高压隔离开关和接地开关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GB3906-91       10KV交流金属封闭开关设备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GB11022-1999    高压开关设备和控制设备标准的共同技术条件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GB11032-89      交流无间隙金属氧化物避雷器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IEC282          高压熔断器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IEC99           避雷器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IEC529          外壳防护等级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IEC129          交流隔离开关和接地开关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IEC265          高压开关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IEC420          高压交流开关熔断器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IEC446          根据颜色和数字鉴别导线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JBl284          低压断路器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JB4012          低压空气式隔离器、开关、隔离开关及熔断器组合电气</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JB2455          低压接触器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JB4013.1        控制电路电气和开关元件一般要求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GB4720          指示灯和按钮的颜色</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CBl497          低压电气基本标准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GB998           低压电气基本测试方法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GB4942—2       低压电气外壳防护等级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GB776           电气测量显示仪表通用技术条件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GB7256          低压成套开关设备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GB9466          低压成套开关设备基本测试方法</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GB 50150-2006       《电气设备交接试验标准》 </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Q/CSG114002-2011    《电力设备预防性试验规程》                                                                    </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 26860-2011       电力安全工作规程发电厂和变电站电气部分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注：上述未提到的但适用于高、低压开关柜的我国其它标准亦可采用。</w:t>
      </w:r>
    </w:p>
    <w:p>
      <w:pPr>
        <w:adjustRightInd w:val="0"/>
        <w:spacing w:line="360" w:lineRule="auto"/>
        <w:ind w:firstLine="480" w:firstLineChars="200"/>
        <w:rPr>
          <w:rFonts w:hint="eastAsia" w:ascii="宋体" w:hAnsi="宋体" w:eastAsia="宋体" w:cs="宋体"/>
          <w:sz w:val="24"/>
          <w:szCs w:val="24"/>
          <w:shd w:val="clear" w:color="auto" w:fill="993300"/>
        </w:rPr>
      </w:pPr>
      <w:r>
        <w:rPr>
          <w:rFonts w:hint="eastAsia" w:ascii="宋体" w:hAnsi="宋体" w:eastAsia="宋体" w:cs="宋体"/>
          <w:sz w:val="24"/>
          <w:szCs w:val="24"/>
          <w:shd w:val="clear" w:color="auto" w:fill="FFFFFF"/>
        </w:rPr>
        <w:t>5.2由采购人认可的国家的其他权威标准</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这些标准应为最新标准，供应商应及时提供给采购人（国外标准应翻译成中文）</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供应商遵守不仅限于此规格书中的标准时，要求及时解释清楚，获得采购人认可后供应商推荐的标准和制造规范等效或适用于此技术规格书，采购人有可能接受。供应商须阐明其替换的标准或其实际使用的标准并提供所推荐的标准和制造规范。</w:t>
      </w:r>
    </w:p>
    <w:p>
      <w:pPr>
        <w:adjustRightInd w:val="0"/>
        <w:spacing w:line="360" w:lineRule="auto"/>
        <w:ind w:firstLine="482" w:firstLineChars="200"/>
        <w:rPr>
          <w:rFonts w:hint="eastAsia" w:ascii="宋体" w:hAnsi="宋体" w:eastAsia="宋体" w:cs="宋体"/>
          <w:b/>
          <w:bCs/>
          <w:sz w:val="24"/>
          <w:szCs w:val="24"/>
        </w:rPr>
      </w:pPr>
      <w:bookmarkStart w:id="2" w:name="_Toc18402164"/>
      <w:bookmarkStart w:id="3" w:name="_Toc44150960"/>
      <w:r>
        <w:rPr>
          <w:rFonts w:hint="eastAsia" w:ascii="宋体" w:hAnsi="宋体" w:cs="宋体"/>
          <w:b/>
          <w:bCs/>
          <w:sz w:val="24"/>
          <w:szCs w:val="24"/>
          <w:lang w:val="en-US" w:eastAsia="zh-CN"/>
        </w:rPr>
        <w:t>九</w:t>
      </w:r>
      <w:r>
        <w:rPr>
          <w:rFonts w:hint="eastAsia" w:ascii="宋体" w:hAnsi="宋体" w:eastAsia="宋体" w:cs="宋体"/>
          <w:b/>
          <w:bCs/>
          <w:sz w:val="24"/>
          <w:szCs w:val="24"/>
        </w:rPr>
        <w:t>、所需资料</w:t>
      </w:r>
      <w:bookmarkEnd w:id="2"/>
      <w:bookmarkEnd w:id="3"/>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供应商须在合同签订后十五日内，制订出设备、材料制造（或采购）计划及高低压预防性试验和维保计划，此计划表应为采购人所认可，并应符合采购人高低压预防性试验维保要求，应符合国家、行业标准、规范要求。</w:t>
      </w:r>
    </w:p>
    <w:p>
      <w:pPr>
        <w:adjustRightInd w:val="0"/>
        <w:spacing w:line="360" w:lineRule="auto"/>
        <w:ind w:firstLine="482" w:firstLineChars="200"/>
        <w:rPr>
          <w:rFonts w:hint="eastAsia" w:ascii="宋体" w:hAnsi="宋体" w:eastAsia="宋体" w:cs="宋体"/>
          <w:b/>
          <w:bCs/>
          <w:sz w:val="24"/>
          <w:szCs w:val="24"/>
        </w:rPr>
      </w:pPr>
      <w:bookmarkStart w:id="4" w:name="_Toc44150961"/>
      <w:bookmarkStart w:id="5" w:name="_Toc18402165"/>
      <w:r>
        <w:rPr>
          <w:rFonts w:hint="eastAsia" w:ascii="宋体" w:hAnsi="宋体" w:cs="宋体"/>
          <w:b/>
          <w:bCs/>
          <w:sz w:val="24"/>
          <w:szCs w:val="24"/>
          <w:lang w:val="en-US" w:eastAsia="zh-CN"/>
        </w:rPr>
        <w:t>十、</w:t>
      </w:r>
      <w:r>
        <w:rPr>
          <w:rFonts w:hint="eastAsia" w:ascii="宋体" w:hAnsi="宋体" w:eastAsia="宋体" w:cs="宋体"/>
          <w:b/>
          <w:bCs/>
          <w:sz w:val="24"/>
          <w:szCs w:val="24"/>
        </w:rPr>
        <w:t>技术培训</w:t>
      </w:r>
      <w:bookmarkEnd w:id="4"/>
      <w:bookmarkEnd w:id="5"/>
    </w:p>
    <w:p>
      <w:pPr>
        <w:adjustRightInd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中标供应商须在采购人处提供操作及现场维护培训，包括管理人员2名，维护人员8名。供应商须在投标文件中提供详细的培训计划，包括培训内容、培训时间、培训费用等。</w:t>
      </w:r>
    </w:p>
    <w:p>
      <w:pPr>
        <w:adjustRightInd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供应商提供的负责培训的人员应具备同类产品5年以上的维修经验。</w:t>
      </w:r>
    </w:p>
    <w:p>
      <w:pPr>
        <w:adjustRightInd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技术培训费用应包含在投标总价中。</w:t>
      </w:r>
    </w:p>
    <w:p>
      <w:pPr>
        <w:adjustRightInd w:val="0"/>
        <w:spacing w:line="360" w:lineRule="auto"/>
        <w:ind w:firstLine="482" w:firstLineChars="200"/>
        <w:rPr>
          <w:rFonts w:hint="eastAsia" w:ascii="宋体" w:hAnsi="宋体" w:eastAsia="宋体" w:cs="宋体"/>
          <w:b/>
          <w:bCs/>
          <w:sz w:val="24"/>
          <w:szCs w:val="24"/>
        </w:rPr>
      </w:pPr>
      <w:bookmarkStart w:id="6" w:name="_Toc18402166"/>
      <w:bookmarkStart w:id="7" w:name="_Toc44150962"/>
      <w:r>
        <w:rPr>
          <w:rFonts w:hint="eastAsia" w:ascii="宋体" w:hAnsi="宋体" w:cs="宋体"/>
          <w:b/>
          <w:bCs/>
          <w:sz w:val="24"/>
          <w:szCs w:val="24"/>
          <w:lang w:val="en-US" w:eastAsia="zh-CN"/>
        </w:rPr>
        <w:t>十一</w:t>
      </w:r>
      <w:r>
        <w:rPr>
          <w:rFonts w:hint="eastAsia" w:ascii="宋体" w:hAnsi="宋体" w:eastAsia="宋体" w:cs="宋体"/>
          <w:b/>
          <w:bCs/>
          <w:sz w:val="24"/>
          <w:szCs w:val="24"/>
        </w:rPr>
        <w:t>、售后服务</w:t>
      </w:r>
      <w:bookmarkEnd w:id="6"/>
      <w:bookmarkEnd w:id="7"/>
    </w:p>
    <w:p>
      <w:pPr>
        <w:adjustRightInd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维修点须设在采购人附近，以处理所有的维修服务：需提供24小时服务，而且维修人员须在接到维修电话后杭州及附近地区1小时内，提供不间断的服务直到结束。维修点需提供足够的备件以适应采购人维修需求。</w:t>
      </w:r>
    </w:p>
    <w:p>
      <w:pPr>
        <w:adjustRightInd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供应商须对合同中规定的设备进行更换的，则更换了的设备供应商在通过最终验收合格次日起提供</w:t>
      </w:r>
      <w:r>
        <w:rPr>
          <w:rFonts w:hint="eastAsia" w:ascii="宋体" w:hAnsi="宋体" w:eastAsia="宋体" w:cs="宋体"/>
          <w:b/>
          <w:sz w:val="24"/>
          <w:szCs w:val="24"/>
        </w:rPr>
        <w:t>24个月</w:t>
      </w:r>
      <w:r>
        <w:rPr>
          <w:rFonts w:hint="eastAsia" w:ascii="宋体" w:hAnsi="宋体" w:eastAsia="宋体" w:cs="宋体"/>
          <w:sz w:val="24"/>
          <w:szCs w:val="24"/>
        </w:rPr>
        <w:t>的质保期。在此期间，因产品制造质量不良而产生损坏或不能正常工作，供应商应免费维修、更换和正常保养。</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质保期内的工作应包括所有常规检查、调整和润滑。保修期内，中标供应商每二个月对设备进行一次总体检测，每半年对设备进行一次复调，维保期间，每年12月给采购人提供一套完整的运行记录。具体的操作程序和内容须在投标时说明。</w:t>
      </w:r>
    </w:p>
    <w:p>
      <w:pPr>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在保修期满时，中标供应商工程师和采购人代表对所有设备进行一次全面测试，任何故障须由中标供应商解决并取得采购人的认可。</w:t>
      </w:r>
    </w:p>
    <w:p>
      <w:pPr>
        <w:adjustRightInd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 xml:space="preserve">质保期内供应商须自行付费，负责修理和替换任何由于设备自身的质量问题造成的损坏及故障。 </w:t>
      </w:r>
    </w:p>
    <w:p>
      <w:pPr>
        <w:adjustRightInd w:val="0"/>
        <w:spacing w:line="288" w:lineRule="auto"/>
        <w:ind w:firstLine="482" w:firstLineChars="200"/>
        <w:jc w:val="left"/>
        <w:rPr>
          <w:rFonts w:hint="eastAsia" w:ascii="宋体" w:hAnsi="宋体" w:eastAsia="宋体" w:cs="宋体"/>
          <w:b/>
          <w:sz w:val="24"/>
          <w:szCs w:val="24"/>
        </w:rPr>
      </w:pPr>
      <w:r>
        <w:rPr>
          <w:rFonts w:hint="eastAsia" w:ascii="宋体" w:hAnsi="宋体" w:cs="宋体"/>
          <w:b/>
          <w:sz w:val="24"/>
          <w:szCs w:val="24"/>
          <w:lang w:val="en-US" w:eastAsia="zh-CN"/>
        </w:rPr>
        <w:t>十二</w:t>
      </w:r>
      <w:r>
        <w:rPr>
          <w:rFonts w:hint="eastAsia" w:ascii="宋体" w:hAnsi="宋体" w:eastAsia="宋体" w:cs="宋体"/>
          <w:b/>
          <w:sz w:val="24"/>
          <w:szCs w:val="24"/>
        </w:rPr>
        <w:t>、本项目要求特别说明</w:t>
      </w:r>
    </w:p>
    <w:tbl>
      <w:tblPr>
        <w:tblStyle w:val="6"/>
        <w:tblW w:w="9215"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64"/>
        <w:gridCol w:w="72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64"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eastAsia="宋体" w:cs="宋体"/>
                <w:spacing w:val="-6"/>
                <w:sz w:val="24"/>
                <w:szCs w:val="24"/>
              </w:rPr>
            </w:pPr>
            <w:r>
              <w:rPr>
                <w:rFonts w:hint="eastAsia" w:ascii="宋体" w:hAnsi="宋体" w:eastAsia="宋体" w:cs="宋体"/>
                <w:spacing w:val="-6"/>
                <w:sz w:val="24"/>
                <w:szCs w:val="24"/>
              </w:rPr>
              <w:t>服务要求</w:t>
            </w:r>
          </w:p>
        </w:tc>
        <w:tc>
          <w:tcPr>
            <w:tcW w:w="725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spacing w:line="380" w:lineRule="exact"/>
              <w:textAlignment w:val="bottom"/>
              <w:rPr>
                <w:rFonts w:hint="eastAsia" w:ascii="宋体" w:hAnsi="宋体" w:eastAsia="宋体" w:cs="宋体"/>
                <w:b/>
                <w:spacing w:val="-6"/>
                <w:sz w:val="24"/>
                <w:szCs w:val="24"/>
              </w:rPr>
            </w:pPr>
            <w:r>
              <w:rPr>
                <w:rFonts w:hint="eastAsia" w:ascii="宋体" w:hAnsi="宋体" w:eastAsia="宋体" w:cs="宋体"/>
                <w:b/>
                <w:spacing w:val="-6"/>
                <w:sz w:val="24"/>
                <w:szCs w:val="24"/>
              </w:rPr>
              <w:t>一、高低压预防性试验和维保周期</w:t>
            </w:r>
          </w:p>
          <w:p>
            <w:pPr>
              <w:autoSpaceDE w:val="0"/>
              <w:autoSpaceDN w:val="0"/>
              <w:adjustRightInd w:val="0"/>
              <w:snapToGrid w:val="0"/>
              <w:spacing w:line="380" w:lineRule="exact"/>
              <w:textAlignment w:val="bottom"/>
              <w:rPr>
                <w:rFonts w:hint="eastAsia" w:ascii="宋体" w:hAnsi="宋体" w:eastAsia="宋体" w:cs="宋体"/>
                <w:spacing w:val="-6"/>
                <w:sz w:val="24"/>
                <w:szCs w:val="24"/>
              </w:rPr>
            </w:pPr>
            <w:r>
              <w:rPr>
                <w:rFonts w:hint="eastAsia" w:ascii="宋体" w:hAnsi="宋体" w:eastAsia="宋体" w:cs="宋体"/>
                <w:b/>
                <w:spacing w:val="-6"/>
                <w:sz w:val="24"/>
                <w:szCs w:val="24"/>
              </w:rPr>
              <w:t>1、定期：</w:t>
            </w:r>
            <w:r>
              <w:rPr>
                <w:rFonts w:hint="eastAsia" w:ascii="宋体" w:hAnsi="宋体" w:cs="宋体"/>
                <w:spacing w:val="-6"/>
                <w:sz w:val="24"/>
                <w:szCs w:val="24"/>
                <w:lang w:val="en-US" w:eastAsia="zh-CN"/>
              </w:rPr>
              <w:t>浙江水利水电学院校内</w:t>
            </w:r>
            <w:r>
              <w:rPr>
                <w:rFonts w:hint="eastAsia" w:ascii="宋体" w:hAnsi="宋体" w:eastAsia="宋体" w:cs="宋体"/>
                <w:spacing w:val="-6"/>
                <w:sz w:val="24"/>
                <w:szCs w:val="24"/>
              </w:rPr>
              <w:t>所有的变电所及所有建筑物配电房内所有电力设备、电气系统高低压预防性试验和维保周期，不得低于《电力设备高低压预防性试验规程》（DL/T596-1996）和《电气装置安装工程电气设备交接试验标准》（GB50150-2006）的前提下，</w:t>
            </w:r>
            <w:r>
              <w:rPr>
                <w:rFonts w:hint="eastAsia" w:ascii="宋体" w:hAnsi="宋体" w:eastAsia="宋体" w:cs="宋体"/>
                <w:sz w:val="24"/>
                <w:szCs w:val="24"/>
              </w:rPr>
              <w:t>在供应商提供维保服务期间，对所有维保电力设备按照国家相关要求进行高低压预防性试验（一般安排在寒暑假期间进行）。所有电力设备高低压预防性试验，变配电房的维护保养和检修工作按照《高低压预防性试验、维保服务要求明细表》执行</w:t>
            </w:r>
            <w:r>
              <w:rPr>
                <w:rFonts w:hint="eastAsia" w:ascii="宋体" w:hAnsi="宋体" w:eastAsia="宋体" w:cs="宋体"/>
                <w:spacing w:val="-6"/>
                <w:sz w:val="24"/>
                <w:szCs w:val="24"/>
              </w:rPr>
              <w:t>；定期上门巡检：每月定期至少一次上门进行被服务设备专业化的巡回检查工作，</w:t>
            </w:r>
            <w:r>
              <w:rPr>
                <w:rFonts w:hint="eastAsia" w:ascii="宋体" w:hAnsi="宋体" w:eastAsia="宋体" w:cs="宋体"/>
                <w:sz w:val="24"/>
                <w:szCs w:val="24"/>
              </w:rPr>
              <w:t>每次不得少于2人，</w:t>
            </w:r>
            <w:r>
              <w:rPr>
                <w:rFonts w:hint="eastAsia" w:ascii="宋体" w:hAnsi="宋体" w:eastAsia="宋体" w:cs="宋体"/>
                <w:spacing w:val="-6"/>
                <w:sz w:val="24"/>
                <w:szCs w:val="24"/>
              </w:rPr>
              <w:t>相关检查书面内容由甲方主管部门签字认可等。每年不少于4次的红外成像巡检，每年不少于1次的局部放电试验。</w:t>
            </w:r>
          </w:p>
          <w:p>
            <w:pPr>
              <w:autoSpaceDE w:val="0"/>
              <w:autoSpaceDN w:val="0"/>
              <w:adjustRightInd w:val="0"/>
              <w:snapToGrid w:val="0"/>
              <w:spacing w:line="380" w:lineRule="exact"/>
              <w:textAlignment w:val="bottom"/>
              <w:rPr>
                <w:rFonts w:hint="eastAsia" w:ascii="宋体" w:hAnsi="宋体" w:eastAsia="宋体" w:cs="宋体"/>
                <w:spacing w:val="-6"/>
                <w:sz w:val="24"/>
                <w:szCs w:val="24"/>
              </w:rPr>
            </w:pPr>
            <w:r>
              <w:rPr>
                <w:rFonts w:hint="eastAsia" w:ascii="宋体" w:hAnsi="宋体" w:eastAsia="宋体" w:cs="宋体"/>
                <w:b/>
                <w:spacing w:val="-6"/>
                <w:sz w:val="24"/>
                <w:szCs w:val="24"/>
              </w:rPr>
              <w:t>2、不定期：</w:t>
            </w:r>
            <w:r>
              <w:rPr>
                <w:rFonts w:hint="eastAsia" w:ascii="宋体" w:hAnsi="宋体" w:eastAsia="宋体" w:cs="宋体"/>
                <w:spacing w:val="-6"/>
                <w:sz w:val="24"/>
                <w:szCs w:val="24"/>
              </w:rPr>
              <w:t>在采购人举行大型会议、活动的前期准备时间，接到采购人电话后，应按采购人要求，对活动场地（楼宇）的变电所、配电房、电气系统进行检修并派专人进行驻点供电保障（如</w:t>
            </w:r>
            <w:r>
              <w:rPr>
                <w:rFonts w:hint="eastAsia" w:ascii="宋体" w:hAnsi="宋体" w:cs="宋体"/>
                <w:spacing w:val="-6"/>
                <w:sz w:val="24"/>
                <w:szCs w:val="24"/>
                <w:lang w:val="en-US" w:eastAsia="zh-CN"/>
              </w:rPr>
              <w:t>大型文艺晚会</w:t>
            </w:r>
            <w:r>
              <w:rPr>
                <w:rFonts w:hint="eastAsia" w:ascii="宋体" w:hAnsi="宋体" w:eastAsia="宋体" w:cs="宋体"/>
                <w:spacing w:val="-6"/>
                <w:sz w:val="24"/>
                <w:szCs w:val="24"/>
              </w:rPr>
              <w:t>、校庆等）；做好采购人在配电系统改造方面方案制定、施工监管与验收等配合工作。</w:t>
            </w:r>
          </w:p>
          <w:p>
            <w:pPr>
              <w:autoSpaceDE w:val="0"/>
              <w:autoSpaceDN w:val="0"/>
              <w:adjustRightInd w:val="0"/>
              <w:snapToGrid w:val="0"/>
              <w:spacing w:line="380" w:lineRule="exact"/>
              <w:textAlignment w:val="bottom"/>
              <w:rPr>
                <w:rFonts w:hint="eastAsia" w:ascii="宋体" w:hAnsi="宋体" w:eastAsia="宋体" w:cs="宋体"/>
                <w:spacing w:val="-6"/>
                <w:sz w:val="24"/>
                <w:szCs w:val="24"/>
              </w:rPr>
            </w:pPr>
            <w:r>
              <w:rPr>
                <w:rFonts w:hint="eastAsia" w:ascii="宋体" w:hAnsi="宋体" w:eastAsia="宋体" w:cs="宋体"/>
                <w:b/>
                <w:spacing w:val="-6"/>
                <w:sz w:val="24"/>
                <w:szCs w:val="24"/>
              </w:rPr>
              <w:t>3、应急抢修</w:t>
            </w:r>
            <w:r>
              <w:rPr>
                <w:rFonts w:hint="eastAsia" w:ascii="宋体" w:hAnsi="宋体" w:eastAsia="宋体" w:cs="宋体"/>
                <w:spacing w:val="-6"/>
                <w:sz w:val="24"/>
                <w:szCs w:val="24"/>
              </w:rPr>
              <w:t>：接到采购人电力设备故障应急报修后，杭州及附近地区不超过1小时内赶赴现场，一般故障在4小时以内解决，需更换大件设备的，一般应在2天内解决。因特殊原因，不能及时解决的，应书面告知采购人。</w:t>
            </w:r>
          </w:p>
          <w:p>
            <w:pPr>
              <w:autoSpaceDE w:val="0"/>
              <w:autoSpaceDN w:val="0"/>
              <w:adjustRightInd w:val="0"/>
              <w:snapToGrid w:val="0"/>
              <w:spacing w:line="380" w:lineRule="exact"/>
              <w:textAlignment w:val="bottom"/>
              <w:rPr>
                <w:rFonts w:hint="eastAsia" w:ascii="宋体" w:hAnsi="宋体" w:eastAsia="宋体" w:cs="宋体"/>
                <w:b/>
                <w:spacing w:val="-6"/>
                <w:sz w:val="24"/>
                <w:szCs w:val="24"/>
              </w:rPr>
            </w:pPr>
            <w:r>
              <w:rPr>
                <w:rFonts w:hint="eastAsia" w:ascii="宋体" w:hAnsi="宋体" w:eastAsia="宋体" w:cs="宋体"/>
                <w:b/>
                <w:spacing w:val="-6"/>
                <w:sz w:val="24"/>
                <w:szCs w:val="24"/>
              </w:rPr>
              <w:t>二、售后服务：</w:t>
            </w:r>
          </w:p>
          <w:p>
            <w:pPr>
              <w:autoSpaceDE w:val="0"/>
              <w:autoSpaceDN w:val="0"/>
              <w:adjustRightInd w:val="0"/>
              <w:snapToGrid w:val="0"/>
              <w:spacing w:line="380" w:lineRule="exact"/>
              <w:textAlignment w:val="bottom"/>
              <w:rPr>
                <w:rFonts w:hint="eastAsia" w:ascii="宋体" w:hAnsi="宋体" w:eastAsia="宋体" w:cs="宋体"/>
                <w:spacing w:val="-6"/>
                <w:sz w:val="24"/>
                <w:szCs w:val="24"/>
              </w:rPr>
            </w:pPr>
            <w:r>
              <w:rPr>
                <w:rFonts w:hint="eastAsia" w:ascii="宋体" w:hAnsi="宋体" w:eastAsia="宋体" w:cs="宋体"/>
                <w:spacing w:val="-6"/>
                <w:sz w:val="24"/>
                <w:szCs w:val="24"/>
              </w:rPr>
              <w:t xml:space="preserve"> 1、维保期内因乙方不能排除的故障而影响学校工作开展的情况每发生一次，每次从履约保证金中扣除合同价5%，履约保证金额不足的，则从合同后续维保款中扣除；因维保不力造成学校财产损失的，中标供应商必须无条件修复，无法修复的，则按市场价全额赔偿。</w:t>
            </w:r>
          </w:p>
          <w:p>
            <w:pPr>
              <w:autoSpaceDE w:val="0"/>
              <w:autoSpaceDN w:val="0"/>
              <w:adjustRightInd w:val="0"/>
              <w:snapToGrid w:val="0"/>
              <w:spacing w:line="380" w:lineRule="exact"/>
              <w:textAlignment w:val="bottom"/>
              <w:rPr>
                <w:rFonts w:hint="eastAsia" w:ascii="宋体" w:hAnsi="宋体" w:eastAsia="宋体" w:cs="宋体"/>
                <w:b/>
                <w:spacing w:val="-6"/>
                <w:sz w:val="24"/>
                <w:szCs w:val="24"/>
              </w:rPr>
            </w:pPr>
            <w:r>
              <w:rPr>
                <w:rFonts w:hint="eastAsia" w:ascii="宋体" w:hAnsi="宋体" w:eastAsia="宋体" w:cs="宋体"/>
                <w:spacing w:val="-6"/>
                <w:sz w:val="24"/>
                <w:szCs w:val="24"/>
              </w:rPr>
              <w:t>2、中标供应商接到采购人通知后，应在不超过1小时内做出响应。</w:t>
            </w:r>
          </w:p>
          <w:p>
            <w:pPr>
              <w:autoSpaceDE w:val="0"/>
              <w:autoSpaceDN w:val="0"/>
              <w:adjustRightInd w:val="0"/>
              <w:snapToGrid w:val="0"/>
              <w:spacing w:line="380" w:lineRule="exact"/>
              <w:textAlignment w:val="bottom"/>
              <w:rPr>
                <w:rFonts w:hint="eastAsia" w:ascii="宋体" w:hAnsi="宋体" w:eastAsia="宋体" w:cs="宋体"/>
                <w:b/>
                <w:spacing w:val="-6"/>
                <w:sz w:val="24"/>
                <w:szCs w:val="24"/>
              </w:rPr>
            </w:pPr>
            <w:r>
              <w:rPr>
                <w:rFonts w:hint="eastAsia" w:ascii="宋体" w:hAnsi="宋体" w:eastAsia="宋体" w:cs="宋体"/>
                <w:b/>
                <w:spacing w:val="-6"/>
                <w:sz w:val="24"/>
                <w:szCs w:val="24"/>
              </w:rPr>
              <w:t xml:space="preserve">三、培训： </w:t>
            </w:r>
          </w:p>
          <w:p>
            <w:pPr>
              <w:autoSpaceDE w:val="0"/>
              <w:autoSpaceDN w:val="0"/>
              <w:adjustRightInd w:val="0"/>
              <w:snapToGrid w:val="0"/>
              <w:spacing w:line="380" w:lineRule="exact"/>
              <w:ind w:firstLine="456" w:firstLineChars="200"/>
              <w:textAlignment w:val="bottom"/>
              <w:rPr>
                <w:rFonts w:hint="eastAsia" w:ascii="宋体" w:hAnsi="宋体" w:eastAsia="宋体" w:cs="宋体"/>
                <w:sz w:val="24"/>
                <w:szCs w:val="24"/>
              </w:rPr>
            </w:pPr>
            <w:r>
              <w:rPr>
                <w:rFonts w:hint="eastAsia" w:ascii="宋体" w:hAnsi="宋体" w:eastAsia="宋体" w:cs="宋体"/>
                <w:spacing w:val="-6"/>
                <w:sz w:val="24"/>
                <w:szCs w:val="24"/>
              </w:rPr>
              <w:t>中标供应商应对需方的操作人员、维修人员免费进行培训，应提供相应的培训计划（实现方式、地点、人数、时间在投标文件中详细说明）。</w:t>
            </w:r>
          </w:p>
          <w:p>
            <w:pPr>
              <w:widowControl/>
              <w:autoSpaceDE w:val="0"/>
              <w:autoSpaceDN w:val="0"/>
              <w:spacing w:line="380" w:lineRule="exact"/>
              <w:textAlignment w:val="bottom"/>
              <w:rPr>
                <w:rFonts w:hint="eastAsia" w:ascii="宋体" w:hAnsi="宋体" w:eastAsia="宋体" w:cs="宋体"/>
                <w:b/>
                <w:spacing w:val="-6"/>
                <w:sz w:val="24"/>
                <w:szCs w:val="24"/>
              </w:rPr>
            </w:pPr>
            <w:r>
              <w:rPr>
                <w:rFonts w:hint="eastAsia" w:ascii="宋体" w:hAnsi="宋体" w:eastAsia="宋体" w:cs="宋体"/>
                <w:b/>
                <w:spacing w:val="-6"/>
                <w:sz w:val="24"/>
                <w:szCs w:val="24"/>
              </w:rPr>
              <w:t>四、验收：</w:t>
            </w:r>
          </w:p>
          <w:p>
            <w:pPr>
              <w:widowControl/>
              <w:autoSpaceDE w:val="0"/>
              <w:autoSpaceDN w:val="0"/>
              <w:spacing w:line="380" w:lineRule="exact"/>
              <w:textAlignment w:val="bottom"/>
              <w:rPr>
                <w:rFonts w:hint="eastAsia" w:ascii="宋体" w:hAnsi="宋体" w:eastAsia="宋体" w:cs="宋体"/>
                <w:b/>
                <w:spacing w:val="-6"/>
                <w:sz w:val="24"/>
                <w:szCs w:val="24"/>
              </w:rPr>
            </w:pPr>
            <w:r>
              <w:rPr>
                <w:rFonts w:hint="eastAsia" w:ascii="宋体" w:hAnsi="宋体" w:eastAsia="宋体" w:cs="宋体"/>
                <w:spacing w:val="-6"/>
                <w:sz w:val="24"/>
                <w:szCs w:val="24"/>
              </w:rPr>
              <w:t>1、中标供应商应提供合同的有效检验文件，经采购人方认可后，与合同的性能指标一起作为合同验收标准。需方对合同项目验收合格后，双方共同签署验收报告，验收中发现合同项目达不到验收标准或合同规定的性能指标，中标供应商应负担由此给用户造成的损失，直到验收合格为止。</w:t>
            </w:r>
          </w:p>
          <w:p>
            <w:pPr>
              <w:widowControl/>
              <w:autoSpaceDE w:val="0"/>
              <w:autoSpaceDN w:val="0"/>
              <w:spacing w:line="380" w:lineRule="exact"/>
              <w:textAlignment w:val="bottom"/>
              <w:rPr>
                <w:rFonts w:hint="eastAsia" w:ascii="宋体" w:hAnsi="宋体" w:eastAsia="宋体" w:cs="宋体"/>
                <w:b/>
                <w:spacing w:val="-6"/>
                <w:sz w:val="24"/>
                <w:szCs w:val="24"/>
              </w:rPr>
            </w:pPr>
            <w:r>
              <w:rPr>
                <w:rFonts w:hint="eastAsia" w:ascii="宋体" w:hAnsi="宋体" w:eastAsia="宋体" w:cs="宋体"/>
                <w:spacing w:val="-6"/>
                <w:sz w:val="24"/>
                <w:szCs w:val="24"/>
              </w:rPr>
              <w:t>2、中标供应商应于投标文件中提供合同商品的验收标准和检测办法，并在验收中提供买方认可的相应检测手段，验收标准应符合中国有关的国家、地方、行业的标准。</w:t>
            </w:r>
          </w:p>
          <w:p>
            <w:pPr>
              <w:spacing w:line="288" w:lineRule="auto"/>
              <w:rPr>
                <w:rFonts w:hint="eastAsia" w:ascii="宋体" w:hAnsi="宋体" w:eastAsia="宋体" w:cs="宋体"/>
                <w:spacing w:val="-6"/>
                <w:sz w:val="24"/>
                <w:szCs w:val="24"/>
              </w:rPr>
            </w:pPr>
            <w:r>
              <w:rPr>
                <w:rFonts w:hint="eastAsia" w:ascii="宋体" w:hAnsi="宋体" w:eastAsia="宋体" w:cs="宋体"/>
                <w:spacing w:val="-6"/>
                <w:sz w:val="24"/>
                <w:szCs w:val="24"/>
              </w:rPr>
              <w:t>3、验收费用由中标供应商承担。</w:t>
            </w:r>
          </w:p>
        </w:tc>
      </w:tr>
    </w:tbl>
    <w:p>
      <w:pPr>
        <w:spacing w:line="420" w:lineRule="exact"/>
        <w:ind w:firstLine="480"/>
        <w:rPr>
          <w:rFonts w:hint="eastAsia" w:ascii="宋体" w:hAnsi="宋体" w:eastAsia="宋体" w:cs="宋体"/>
          <w:sz w:val="24"/>
          <w:szCs w:val="24"/>
        </w:rPr>
      </w:pPr>
    </w:p>
    <w:p>
      <w:pPr>
        <w:rPr>
          <w:rFonts w:hint="eastAsia" w:ascii="宋体" w:hAnsi="宋体" w:cs="宋体"/>
          <w:b/>
          <w:bCs/>
          <w:sz w:val="24"/>
          <w:szCs w:val="24"/>
          <w:lang w:eastAsia="zh-CN"/>
        </w:rPr>
      </w:pPr>
      <w:bookmarkStart w:id="8" w:name="_GoBack"/>
      <w:bookmarkEnd w:id="8"/>
      <w:r>
        <w:rPr>
          <w:rFonts w:hint="eastAsia" w:ascii="宋体" w:hAnsi="宋体" w:cs="宋体"/>
          <w:b/>
          <w:bCs/>
          <w:sz w:val="24"/>
          <w:szCs w:val="24"/>
          <w:lang w:eastAsia="zh-CN"/>
        </w:rPr>
        <w:t>十三、资质要求</w:t>
      </w:r>
    </w:p>
    <w:p>
      <w:pPr>
        <w:rPr>
          <w:rFonts w:hint="default" w:ascii="宋体" w:hAnsi="宋体" w:eastAsia="宋体" w:cs="宋体"/>
          <w:color w:val="000000"/>
          <w:sz w:val="21"/>
          <w:szCs w:val="21"/>
          <w:highlight w:val="none"/>
          <w:lang w:val="en-US" w:eastAsia="zh-CN"/>
        </w:rPr>
      </w:pPr>
      <w:r>
        <w:rPr>
          <w:rFonts w:hint="eastAsia" w:ascii="宋体" w:hAnsi="宋体" w:cs="宋体"/>
          <w:sz w:val="24"/>
          <w:szCs w:val="24"/>
          <w:lang w:val="en-US" w:eastAsia="zh-CN"/>
        </w:rPr>
        <w:t>1、</w:t>
      </w:r>
      <w:r>
        <w:rPr>
          <w:rFonts w:hint="eastAsia" w:ascii="宋体" w:hAnsi="宋体" w:eastAsia="宋体" w:cs="宋体"/>
          <w:color w:val="000000"/>
          <w:sz w:val="21"/>
          <w:szCs w:val="21"/>
          <w:highlight w:val="none"/>
        </w:rPr>
        <w:t>承装(修、试)电力设施许可证</w:t>
      </w:r>
      <w:r>
        <w:rPr>
          <w:rFonts w:hint="eastAsia" w:ascii="宋体" w:hAnsi="宋体" w:eastAsia="宋体" w:cs="宋体"/>
          <w:color w:val="000000"/>
          <w:sz w:val="21"/>
          <w:szCs w:val="21"/>
          <w:highlight w:val="none"/>
          <w:lang w:eastAsia="zh-CN"/>
        </w:rPr>
        <w:t>四</w:t>
      </w:r>
      <w:r>
        <w:rPr>
          <w:rFonts w:hint="eastAsia" w:ascii="宋体" w:hAnsi="宋体" w:eastAsia="宋体" w:cs="宋体"/>
          <w:color w:val="000000"/>
          <w:sz w:val="21"/>
          <w:szCs w:val="21"/>
          <w:highlight w:val="none"/>
        </w:rPr>
        <w:t>级及以上资质</w:t>
      </w:r>
      <w:r>
        <w:rPr>
          <w:rFonts w:hint="eastAsia" w:ascii="宋体" w:hAnsi="宋体" w:cs="宋体"/>
          <w:color w:val="000000"/>
          <w:sz w:val="21"/>
          <w:szCs w:val="21"/>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7C1DE5"/>
    <w:multiLevelType w:val="singleLevel"/>
    <w:tmpl w:val="CB7C1DE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MTU1NWIxNjZkZDgzNTkwNThiZWM3YjFlNTc4NTYifQ=="/>
  </w:docVars>
  <w:rsids>
    <w:rsidRoot w:val="00000000"/>
    <w:rsid w:val="014D5760"/>
    <w:rsid w:val="048A0615"/>
    <w:rsid w:val="05726E71"/>
    <w:rsid w:val="06725DB1"/>
    <w:rsid w:val="069176F4"/>
    <w:rsid w:val="072938E8"/>
    <w:rsid w:val="07694DD9"/>
    <w:rsid w:val="0A5B4343"/>
    <w:rsid w:val="0B7E2B3F"/>
    <w:rsid w:val="0B8E1704"/>
    <w:rsid w:val="14FD70ED"/>
    <w:rsid w:val="165E6179"/>
    <w:rsid w:val="18EF55D2"/>
    <w:rsid w:val="1CD05492"/>
    <w:rsid w:val="1CF433AE"/>
    <w:rsid w:val="1E1A048F"/>
    <w:rsid w:val="1E273F41"/>
    <w:rsid w:val="1E3F4E76"/>
    <w:rsid w:val="1E9528AA"/>
    <w:rsid w:val="21A4032E"/>
    <w:rsid w:val="232D18B7"/>
    <w:rsid w:val="264E656C"/>
    <w:rsid w:val="27BC091E"/>
    <w:rsid w:val="29E33BCC"/>
    <w:rsid w:val="2B231E21"/>
    <w:rsid w:val="2B6E5560"/>
    <w:rsid w:val="2CFA076B"/>
    <w:rsid w:val="2DC43B3A"/>
    <w:rsid w:val="2E7666AC"/>
    <w:rsid w:val="30EA4FAD"/>
    <w:rsid w:val="30F400A0"/>
    <w:rsid w:val="3702194B"/>
    <w:rsid w:val="373B350F"/>
    <w:rsid w:val="39C4063A"/>
    <w:rsid w:val="3C62346C"/>
    <w:rsid w:val="42B95DF9"/>
    <w:rsid w:val="4392187D"/>
    <w:rsid w:val="45D73CF6"/>
    <w:rsid w:val="49215B6C"/>
    <w:rsid w:val="49817D24"/>
    <w:rsid w:val="506568B4"/>
    <w:rsid w:val="50F80015"/>
    <w:rsid w:val="512C16F0"/>
    <w:rsid w:val="52C2463C"/>
    <w:rsid w:val="530860A1"/>
    <w:rsid w:val="53F1609C"/>
    <w:rsid w:val="558E1B86"/>
    <w:rsid w:val="56C700CD"/>
    <w:rsid w:val="578C6C8C"/>
    <w:rsid w:val="588D4F8D"/>
    <w:rsid w:val="590E6725"/>
    <w:rsid w:val="5AD96930"/>
    <w:rsid w:val="5C7424D5"/>
    <w:rsid w:val="5D61752B"/>
    <w:rsid w:val="5DFB53D6"/>
    <w:rsid w:val="5E366FC8"/>
    <w:rsid w:val="608E0501"/>
    <w:rsid w:val="639D7EB8"/>
    <w:rsid w:val="64101396"/>
    <w:rsid w:val="6A8F26CE"/>
    <w:rsid w:val="6BC90EF1"/>
    <w:rsid w:val="740E6E96"/>
    <w:rsid w:val="74506EB0"/>
    <w:rsid w:val="79E83D93"/>
    <w:rsid w:val="7E452CE4"/>
    <w:rsid w:val="7F1F6F8B"/>
    <w:rsid w:val="7FE51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b/>
      <w:color w:val="000000"/>
      <w:sz w:val="32"/>
    </w:rPr>
  </w:style>
  <w:style w:type="paragraph" w:styleId="3">
    <w:name w:val="heading 2"/>
    <w:basedOn w:val="1"/>
    <w:next w:val="1"/>
    <w:qFormat/>
    <w:uiPriority w:val="0"/>
    <w:pPr>
      <w:keepNext/>
      <w:keepLines/>
      <w:spacing w:line="360" w:lineRule="auto"/>
      <w:ind w:firstLine="200" w:firstLineChars="200"/>
      <w:outlineLvl w:val="1"/>
    </w:pPr>
    <w:rPr>
      <w:rFonts w:ascii="Arial" w:hAnsi="Arial"/>
      <w:b/>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rPr>
      <w:snapToGrid/>
      <w:kern w:val="2"/>
    </w:rPr>
  </w:style>
  <w:style w:type="paragraph" w:styleId="5">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7120</Words>
  <Characters>7776</Characters>
  <Lines>0</Lines>
  <Paragraphs>0</Paragraphs>
  <TotalTime>16</TotalTime>
  <ScaleCrop>false</ScaleCrop>
  <LinksUpToDate>false</LinksUpToDate>
  <CharactersWithSpaces>8104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阿秋</cp:lastModifiedBy>
  <dcterms:modified xsi:type="dcterms:W3CDTF">2023-05-30T00:45:28Z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E28842F7A0E245C291E78A7734605E07_13</vt:lpwstr>
  </property>
</Properties>
</file>