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353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36"/>
          <w:szCs w:val="36"/>
          <w:lang w:val="en-US" w:eastAsia="zh-CN"/>
        </w:rPr>
      </w:pPr>
      <w:bookmarkStart w:id="9" w:name="_GoBack"/>
      <w:r>
        <w:rPr>
          <w:rFonts w:hint="eastAsia" w:ascii="仿宋" w:hAnsi="仿宋" w:eastAsia="仿宋" w:cs="仿宋"/>
          <w:b/>
          <w:bCs/>
          <w:sz w:val="36"/>
          <w:szCs w:val="36"/>
          <w:lang w:val="en-US" w:eastAsia="zh-CN"/>
        </w:rPr>
        <w:t>南浔校区配电房屋顶改造项目技术指标及报价单</w:t>
      </w:r>
    </w:p>
    <w:bookmarkEnd w:id="9"/>
    <w:p w14:paraId="06B2C917">
      <w:pPr>
        <w:pStyle w:val="4"/>
        <w:rPr>
          <w:rFonts w:hint="eastAsia" w:ascii="仿宋" w:hAnsi="仿宋" w:eastAsia="仿宋" w:cs="仿宋"/>
          <w:lang w:val="en-US" w:eastAsia="zh-CN"/>
        </w:rPr>
      </w:pPr>
    </w:p>
    <w:p w14:paraId="22B21C2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一、项目概况</w:t>
      </w:r>
    </w:p>
    <w:p w14:paraId="2EAD31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适配学校高质量发展需要，进一步筑牢校园安全保障根基、提升后勤运维服务水平。结合学校校园安全整治安排，现实施南浔校区配电房屋顶改造工程，针对配电房平面屋顶雨天渗漏、存在变压器淋雨滴水安全隐患问题开展专项整治，本次采用平改坡专项改造，将原有平屋面改造为坡屋面，彻底解决屋面漏水问题，筑牢配电房供电安全防护基础，切实保障校园供电平稳运行与师生校园生活安全。</w:t>
      </w:r>
    </w:p>
    <w:p w14:paraId="7D079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经实地勘察与综合研判，拟率先改造A1配电房和B5配电房。</w:t>
      </w:r>
    </w:p>
    <w:p w14:paraId="02BA1CE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项目说明</w:t>
      </w:r>
    </w:p>
    <w:p w14:paraId="5E0F90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1、工程地点：浙江水利水电学院南浔校区</w:t>
      </w:r>
    </w:p>
    <w:p w14:paraId="090EEE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2、项目预算：110000元，超过预算视为无效报价</w:t>
      </w:r>
    </w:p>
    <w:p w14:paraId="5777DD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3、项目工期：15天</w:t>
      </w:r>
    </w:p>
    <w:p w14:paraId="31E0B4F1">
      <w:pPr>
        <w:pStyle w:val="4"/>
        <w:numPr>
          <w:ilvl w:val="0"/>
          <w:numId w:val="0"/>
        </w:numPr>
        <w:ind w:firstLine="482" w:firstLineChars="200"/>
        <w:rPr>
          <w:rFonts w:hint="default"/>
          <w:lang w:val="en-US" w:eastAsia="zh-CN"/>
        </w:rPr>
      </w:pPr>
      <w:r>
        <w:rPr>
          <w:rFonts w:hint="eastAsia" w:ascii="仿宋" w:hAnsi="仿宋" w:eastAsia="仿宋" w:cs="仿宋"/>
          <w:b/>
          <w:bCs/>
          <w:caps w:val="0"/>
          <w:kern w:val="2"/>
          <w:sz w:val="24"/>
          <w:szCs w:val="24"/>
          <w:lang w:val="en-US" w:eastAsia="zh-CN" w:bidi="ar-SA"/>
        </w:rPr>
        <w:t>三、                      工程量报价单</w:t>
      </w:r>
    </w:p>
    <w:tbl>
      <w:tblPr>
        <w:tblStyle w:val="6"/>
        <w:tblW w:w="84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2"/>
        <w:gridCol w:w="807"/>
        <w:gridCol w:w="3250"/>
        <w:gridCol w:w="667"/>
        <w:gridCol w:w="883"/>
        <w:gridCol w:w="983"/>
        <w:gridCol w:w="667"/>
        <w:gridCol w:w="633"/>
      </w:tblGrid>
      <w:tr w14:paraId="22AB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2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D141A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807" w:type="dxa"/>
            <w:tcBorders>
              <w:top w:val="single" w:color="000000" w:sz="8" w:space="0"/>
              <w:left w:val="nil"/>
              <w:bottom w:val="single" w:color="000000" w:sz="8" w:space="0"/>
              <w:right w:val="single" w:color="000000" w:sz="8" w:space="0"/>
            </w:tcBorders>
            <w:shd w:val="clear" w:color="auto" w:fill="FFFFFF"/>
            <w:vAlign w:val="center"/>
          </w:tcPr>
          <w:p w14:paraId="2F66043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项目名称</w:t>
            </w:r>
          </w:p>
        </w:tc>
        <w:tc>
          <w:tcPr>
            <w:tcW w:w="3250" w:type="dxa"/>
            <w:tcBorders>
              <w:top w:val="single" w:color="000000" w:sz="8" w:space="0"/>
              <w:left w:val="nil"/>
              <w:bottom w:val="single" w:color="000000" w:sz="8" w:space="0"/>
              <w:right w:val="single" w:color="000000" w:sz="8" w:space="0"/>
            </w:tcBorders>
            <w:shd w:val="clear" w:color="auto" w:fill="FFFFFF"/>
            <w:vAlign w:val="center"/>
          </w:tcPr>
          <w:p w14:paraId="4806050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项目特征描述</w:t>
            </w:r>
          </w:p>
        </w:tc>
        <w:tc>
          <w:tcPr>
            <w:tcW w:w="667" w:type="dxa"/>
            <w:tcBorders>
              <w:top w:val="single" w:color="000000" w:sz="8" w:space="0"/>
              <w:left w:val="nil"/>
              <w:bottom w:val="single" w:color="000000" w:sz="8" w:space="0"/>
              <w:right w:val="single" w:color="000000" w:sz="8" w:space="0"/>
            </w:tcBorders>
            <w:shd w:val="clear" w:color="auto" w:fill="FFFFFF"/>
            <w:vAlign w:val="center"/>
          </w:tcPr>
          <w:p w14:paraId="3E5CA8B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计量单位</w:t>
            </w:r>
          </w:p>
        </w:tc>
        <w:tc>
          <w:tcPr>
            <w:tcW w:w="883" w:type="dxa"/>
            <w:tcBorders>
              <w:top w:val="single" w:color="000000" w:sz="8" w:space="0"/>
              <w:left w:val="nil"/>
              <w:bottom w:val="single" w:color="000000" w:sz="8" w:space="0"/>
              <w:right w:val="single" w:color="000000" w:sz="8" w:space="0"/>
            </w:tcBorders>
            <w:shd w:val="clear" w:color="auto" w:fill="FFFFFF"/>
            <w:vAlign w:val="center"/>
          </w:tcPr>
          <w:p w14:paraId="2E8C69E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工程量</w:t>
            </w:r>
          </w:p>
        </w:tc>
        <w:tc>
          <w:tcPr>
            <w:tcW w:w="983" w:type="dxa"/>
            <w:tcBorders>
              <w:top w:val="single" w:color="000000" w:sz="8" w:space="0"/>
              <w:left w:val="nil"/>
              <w:bottom w:val="single" w:color="000000" w:sz="8" w:space="0"/>
              <w:right w:val="single" w:color="000000" w:sz="8" w:space="0"/>
            </w:tcBorders>
            <w:shd w:val="clear" w:color="auto" w:fill="FFFFFF"/>
            <w:vAlign w:val="center"/>
          </w:tcPr>
          <w:p w14:paraId="5FEBC64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综合单价(元)</w:t>
            </w:r>
          </w:p>
        </w:tc>
        <w:tc>
          <w:tcPr>
            <w:tcW w:w="667" w:type="dxa"/>
            <w:tcBorders>
              <w:top w:val="single" w:color="000000" w:sz="8" w:space="0"/>
              <w:left w:val="nil"/>
              <w:bottom w:val="single" w:color="000000" w:sz="8" w:space="0"/>
              <w:right w:val="single" w:color="000000" w:sz="8" w:space="0"/>
            </w:tcBorders>
            <w:shd w:val="clear" w:color="auto" w:fill="FFFFFF"/>
            <w:vAlign w:val="center"/>
          </w:tcPr>
          <w:p w14:paraId="4993480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合价(元)</w:t>
            </w:r>
          </w:p>
        </w:tc>
        <w:tc>
          <w:tcPr>
            <w:tcW w:w="633" w:type="dxa"/>
            <w:tcBorders>
              <w:top w:val="single" w:color="000000" w:sz="8" w:space="0"/>
              <w:left w:val="nil"/>
              <w:bottom w:val="single" w:color="000000" w:sz="8" w:space="0"/>
              <w:right w:val="single" w:color="000000" w:sz="8" w:space="0"/>
            </w:tcBorders>
            <w:shd w:val="clear" w:color="auto" w:fill="FFFFFF"/>
            <w:vAlign w:val="center"/>
          </w:tcPr>
          <w:p w14:paraId="124E003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14:paraId="786E6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12" w:type="dxa"/>
            <w:gridSpan w:val="8"/>
            <w:tcBorders>
              <w:top w:val="nil"/>
              <w:left w:val="single" w:color="000000" w:sz="8" w:space="0"/>
              <w:bottom w:val="single" w:color="000000" w:sz="8" w:space="0"/>
              <w:right w:val="single" w:color="000000" w:sz="8" w:space="0"/>
            </w:tcBorders>
            <w:shd w:val="clear" w:color="auto" w:fill="FFFFFF"/>
            <w:vAlign w:val="center"/>
          </w:tcPr>
          <w:p w14:paraId="46CD95B8">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A1配电房</w:t>
            </w:r>
          </w:p>
        </w:tc>
      </w:tr>
      <w:tr w14:paraId="0EB3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5" w:hRule="atLeast"/>
        </w:trPr>
        <w:tc>
          <w:tcPr>
            <w:tcW w:w="522" w:type="dxa"/>
            <w:tcBorders>
              <w:top w:val="nil"/>
              <w:left w:val="single" w:color="000000" w:sz="8" w:space="0"/>
              <w:bottom w:val="single" w:color="000000" w:sz="8" w:space="0"/>
              <w:right w:val="single" w:color="000000" w:sz="8" w:space="0"/>
            </w:tcBorders>
            <w:shd w:val="clear" w:color="auto" w:fill="FFFFFF"/>
            <w:vAlign w:val="center"/>
          </w:tcPr>
          <w:p w14:paraId="5B05CB6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80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C6EFA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钢屋架</w:t>
            </w:r>
          </w:p>
        </w:tc>
        <w:tc>
          <w:tcPr>
            <w:tcW w:w="3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EE81D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1.钢材品种、规格:主桁架上下弦采用100×50×3.0镀锌方钢，桁架腹杆采用60×40×2.5镀锌方钢，屋面檩条采用80×40×2.0镀锌方钢（间隔小于1m）。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2.屋架跨度、安装高度:按现场实际（主框架桁架间距不大于4m）。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3.含各类预埋件及连接固定件。</w:t>
            </w: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FAC5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w:t>
            </w:r>
          </w:p>
        </w:tc>
        <w:tc>
          <w:tcPr>
            <w:tcW w:w="8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D47BE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2.052</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C3DD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22E04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33" w:type="dxa"/>
            <w:tcBorders>
              <w:top w:val="nil"/>
              <w:left w:val="nil"/>
              <w:bottom w:val="single" w:color="000000" w:sz="8" w:space="0"/>
              <w:right w:val="single" w:color="000000" w:sz="8" w:space="0"/>
            </w:tcBorders>
            <w:shd w:val="clear" w:color="auto" w:fill="FFFFFF"/>
            <w:vAlign w:val="center"/>
          </w:tcPr>
          <w:p w14:paraId="60B9E3DD">
            <w:pPr>
              <w:jc w:val="right"/>
              <w:rPr>
                <w:rFonts w:hint="eastAsia" w:ascii="仿宋" w:hAnsi="仿宋" w:eastAsia="仿宋" w:cs="仿宋"/>
                <w:i w:val="0"/>
                <w:iCs w:val="0"/>
                <w:color w:val="000000"/>
                <w:sz w:val="21"/>
                <w:szCs w:val="21"/>
                <w:u w:val="none"/>
              </w:rPr>
            </w:pPr>
          </w:p>
        </w:tc>
      </w:tr>
      <w:tr w14:paraId="77A4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2" w:hRule="atLeast"/>
        </w:trPr>
        <w:tc>
          <w:tcPr>
            <w:tcW w:w="522" w:type="dxa"/>
            <w:tcBorders>
              <w:top w:val="nil"/>
              <w:left w:val="single" w:color="000000" w:sz="8" w:space="0"/>
              <w:bottom w:val="single" w:color="000000" w:sz="8" w:space="0"/>
              <w:right w:val="single" w:color="000000" w:sz="8" w:space="0"/>
            </w:tcBorders>
            <w:shd w:val="clear" w:color="auto" w:fill="FFFFFF"/>
            <w:vAlign w:val="center"/>
          </w:tcPr>
          <w:p w14:paraId="56059D6F">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80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D58FD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型材屋面</w:t>
            </w:r>
          </w:p>
        </w:tc>
        <w:tc>
          <w:tcPr>
            <w:tcW w:w="3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DCAC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950 型长城铝隔热复合瓦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1.45mm高；板材结构：铝镁锰合金 + 高密度聚氨酯 PU 发泡芯层，双面铝皮。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铝板厚度：上层面板：0.6mm 铝镁锰合金；下层面板：0.5mm 铝镁锰合金。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表面涂层：HDP 高耐久聚酯哑光涂层（户外耐候、抗褪色、抗老化）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选定仿古颜色：仿古哑光咖啡古铜色（与现有风格一致）。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2.含屋脊，封口条等各类配件</w:t>
            </w: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D248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m2</w:t>
            </w:r>
          </w:p>
        </w:tc>
        <w:tc>
          <w:tcPr>
            <w:tcW w:w="8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D5A7E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396.24</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B20F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C289C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33" w:type="dxa"/>
            <w:tcBorders>
              <w:top w:val="nil"/>
              <w:left w:val="nil"/>
              <w:bottom w:val="single" w:color="000000" w:sz="8" w:space="0"/>
              <w:right w:val="single" w:color="000000" w:sz="8" w:space="0"/>
            </w:tcBorders>
            <w:shd w:val="clear" w:color="auto" w:fill="FFFFFF"/>
            <w:vAlign w:val="center"/>
          </w:tcPr>
          <w:p w14:paraId="5BFD236F">
            <w:pPr>
              <w:jc w:val="right"/>
              <w:rPr>
                <w:rFonts w:hint="eastAsia" w:ascii="仿宋" w:hAnsi="仿宋" w:eastAsia="仿宋" w:cs="仿宋"/>
                <w:i w:val="0"/>
                <w:iCs w:val="0"/>
                <w:color w:val="000000"/>
                <w:sz w:val="21"/>
                <w:szCs w:val="21"/>
                <w:u w:val="none"/>
              </w:rPr>
            </w:pPr>
          </w:p>
        </w:tc>
      </w:tr>
      <w:tr w14:paraId="0395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12" w:type="dxa"/>
            <w:gridSpan w:val="8"/>
            <w:tcBorders>
              <w:top w:val="nil"/>
              <w:left w:val="single" w:color="000000" w:sz="8" w:space="0"/>
              <w:bottom w:val="single" w:color="000000" w:sz="8" w:space="0"/>
              <w:right w:val="single" w:color="000000" w:sz="8" w:space="0"/>
            </w:tcBorders>
            <w:shd w:val="clear" w:color="auto" w:fill="FFFFFF"/>
            <w:vAlign w:val="center"/>
          </w:tcPr>
          <w:p w14:paraId="7F52ABBD">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B5配电房</w:t>
            </w:r>
          </w:p>
        </w:tc>
      </w:tr>
      <w:tr w14:paraId="6DD72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6" w:hRule="atLeast"/>
        </w:trPr>
        <w:tc>
          <w:tcPr>
            <w:tcW w:w="522" w:type="dxa"/>
            <w:tcBorders>
              <w:top w:val="nil"/>
              <w:left w:val="single" w:color="000000" w:sz="8" w:space="0"/>
              <w:bottom w:val="single" w:color="000000" w:sz="8" w:space="0"/>
              <w:right w:val="single" w:color="000000" w:sz="8" w:space="0"/>
            </w:tcBorders>
            <w:shd w:val="clear" w:color="auto" w:fill="FFFFFF"/>
            <w:vAlign w:val="center"/>
          </w:tcPr>
          <w:p w14:paraId="324DC3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0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9171E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钢屋架</w:t>
            </w:r>
          </w:p>
        </w:tc>
        <w:tc>
          <w:tcPr>
            <w:tcW w:w="3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6B4C5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1.钢材品种、规格:主桁架上下弦采用80×40×2.5镀锌方钢，桁架腹杆采用40×30×2.0镀锌方钢，屋面檩条采用80×40×2.0镀锌方钢（间隔1m）。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2.屋架跨度、安装高度:按现场实际（不大于4m）。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3.含各类预埋件及连接固定件。</w:t>
            </w: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49C8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w:t>
            </w:r>
          </w:p>
        </w:tc>
        <w:tc>
          <w:tcPr>
            <w:tcW w:w="8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7A8C7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0.199</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91EA5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6FFB9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33" w:type="dxa"/>
            <w:tcBorders>
              <w:top w:val="nil"/>
              <w:left w:val="nil"/>
              <w:bottom w:val="single" w:color="000000" w:sz="8" w:space="0"/>
              <w:right w:val="single" w:color="000000" w:sz="8" w:space="0"/>
            </w:tcBorders>
            <w:shd w:val="clear" w:color="auto" w:fill="FFFFFF"/>
            <w:vAlign w:val="center"/>
          </w:tcPr>
          <w:p w14:paraId="3AD22D36">
            <w:pPr>
              <w:jc w:val="right"/>
              <w:rPr>
                <w:rFonts w:hint="eastAsia" w:ascii="仿宋" w:hAnsi="仿宋" w:eastAsia="仿宋" w:cs="仿宋"/>
                <w:i w:val="0"/>
                <w:iCs w:val="0"/>
                <w:color w:val="000000"/>
                <w:sz w:val="21"/>
                <w:szCs w:val="21"/>
                <w:u w:val="none"/>
              </w:rPr>
            </w:pPr>
          </w:p>
        </w:tc>
      </w:tr>
      <w:tr w14:paraId="33A9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4" w:hRule="atLeast"/>
        </w:trPr>
        <w:tc>
          <w:tcPr>
            <w:tcW w:w="522" w:type="dxa"/>
            <w:tcBorders>
              <w:top w:val="nil"/>
              <w:left w:val="single" w:color="000000" w:sz="8" w:space="0"/>
              <w:bottom w:val="single" w:color="000000" w:sz="8" w:space="0"/>
              <w:right w:val="single" w:color="000000" w:sz="8" w:space="0"/>
            </w:tcBorders>
            <w:shd w:val="clear" w:color="auto" w:fill="FFFFFF"/>
            <w:vAlign w:val="center"/>
          </w:tcPr>
          <w:p w14:paraId="57E685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0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B39F9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型材屋面</w:t>
            </w:r>
          </w:p>
        </w:tc>
        <w:tc>
          <w:tcPr>
            <w:tcW w:w="32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CABAE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950 型长城铝隔热复合瓦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1.45mm高；板材结构：铝镁锰合金 + 高密度聚氨酯 PU 发泡芯层，双面铝皮。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铝板厚度：上层面板：0.6mm 铝镁锰合金；下层面板：0.5mm 铝镁锰合金。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表面涂层：HDP 高耐久聚酯哑光涂层（户外耐候、抗褪色、抗老化）</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选定仿古颜色：仿古哑光咖啡古铜色（与现有风格一致）。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2.含屋脊，封口条等各类配件</w:t>
            </w: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009B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m2</w:t>
            </w:r>
          </w:p>
        </w:tc>
        <w:tc>
          <w:tcPr>
            <w:tcW w:w="8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D79D2D">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45.45</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D8542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91533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633" w:type="dxa"/>
            <w:tcBorders>
              <w:top w:val="nil"/>
              <w:left w:val="nil"/>
              <w:bottom w:val="single" w:color="000000" w:sz="8" w:space="0"/>
              <w:right w:val="single" w:color="000000" w:sz="8" w:space="0"/>
            </w:tcBorders>
            <w:shd w:val="clear" w:color="auto" w:fill="FFFFFF"/>
            <w:vAlign w:val="center"/>
          </w:tcPr>
          <w:p w14:paraId="457F515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r>
      <w:tr w14:paraId="74CC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4579" w:type="dxa"/>
            <w:gridSpan w:val="3"/>
            <w:tcBorders>
              <w:top w:val="nil"/>
              <w:left w:val="single" w:color="000000" w:sz="8" w:space="0"/>
              <w:bottom w:val="single" w:color="000000" w:sz="8" w:space="0"/>
              <w:right w:val="single" w:color="000000" w:sz="4" w:space="0"/>
            </w:tcBorders>
            <w:shd w:val="clear" w:color="auto" w:fill="FFFFFF"/>
            <w:vAlign w:val="center"/>
          </w:tcPr>
          <w:p w14:paraId="3D295FB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合计</w:t>
            </w:r>
          </w:p>
        </w:tc>
        <w:tc>
          <w:tcPr>
            <w:tcW w:w="3833" w:type="dxa"/>
            <w:gridSpan w:val="5"/>
            <w:tcBorders>
              <w:top w:val="single" w:color="000000" w:sz="4" w:space="0"/>
              <w:left w:val="single" w:color="000000" w:sz="4" w:space="0"/>
              <w:bottom w:val="single" w:color="000000" w:sz="4" w:space="0"/>
              <w:right w:val="single" w:color="000000" w:sz="8" w:space="0"/>
            </w:tcBorders>
            <w:shd w:val="clear" w:color="FFFFFF" w:fill="FFFFFF"/>
            <w:vAlign w:val="center"/>
          </w:tcPr>
          <w:p w14:paraId="53A90867">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r>
    </w:tbl>
    <w:p w14:paraId="53334AC7">
      <w:pPr>
        <w:pStyle w:val="4"/>
        <w:rPr>
          <w:rFonts w:hint="default" w:ascii="仿宋" w:hAnsi="仿宋" w:eastAsia="仿宋" w:cs="仿宋"/>
          <w:sz w:val="24"/>
          <w:szCs w:val="24"/>
          <w:lang w:val="en-US" w:eastAsia="zh-CN"/>
        </w:rPr>
      </w:pPr>
      <w:r>
        <w:rPr>
          <w:rFonts w:hint="eastAsia" w:ascii="仿宋" w:hAnsi="仿宋" w:eastAsia="仿宋" w:cs="仿宋"/>
          <w:lang w:val="en-US" w:eastAsia="zh-CN"/>
        </w:rPr>
        <w:t>以上费用包含税费，规费和人工等费用，投标前需进行现场勘察，表格见下文</w:t>
      </w:r>
    </w:p>
    <w:p w14:paraId="4DEAE3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 xml:space="preserve">前期准备 </w:t>
      </w:r>
      <w:r>
        <w:rPr>
          <w:rFonts w:hint="eastAsia" w:ascii="仿宋" w:hAnsi="仿宋" w:eastAsia="仿宋" w:cs="仿宋"/>
          <w:sz w:val="24"/>
          <w:szCs w:val="24"/>
        </w:rPr>
        <w:t xml:space="preserve"> </w:t>
      </w:r>
    </w:p>
    <w:p w14:paraId="30B6BE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现场勘查</w:t>
      </w:r>
    </w:p>
    <w:p w14:paraId="553B66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复核配电房屋面尺寸、结构荷载、原有屋面情况，确认屋面梁柱承重条件，确定坡屋面坡度、屋脊走向及排水组织方案。</w:t>
      </w:r>
      <w:r>
        <w:rPr>
          <w:rFonts w:hint="eastAsia" w:ascii="仿宋" w:hAnsi="仿宋" w:eastAsia="仿宋" w:cs="仿宋"/>
          <w:b/>
          <w:bCs/>
          <w:sz w:val="24"/>
          <w:szCs w:val="24"/>
          <w:lang w:val="en-US" w:eastAsia="zh-CN"/>
        </w:rPr>
        <w:t>施工前需绘制图纸，用于验收及审计。</w:t>
      </w:r>
    </w:p>
    <w:p w14:paraId="02F1BEE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sz w:val="24"/>
          <w:szCs w:val="24"/>
        </w:rPr>
      </w:pPr>
      <w:r>
        <w:rPr>
          <w:rFonts w:hint="eastAsia" w:ascii="仿宋" w:hAnsi="仿宋" w:eastAsia="仿宋" w:cs="仿宋"/>
          <w:sz w:val="24"/>
          <w:szCs w:val="24"/>
        </w:rPr>
        <w:t xml:space="preserve">材料准备  </w:t>
      </w:r>
    </w:p>
    <w:p w14:paraId="6E46F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备好钢结构檩条、防水卷材、屋面仿古铝合金隔热瓦（与现有瓦面外观一致）、密封胶、避雷连接件等，所有材料进场核验资质与质量。</w:t>
      </w:r>
    </w:p>
    <w:p w14:paraId="5CF0D8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3、安全防护</w:t>
      </w:r>
    </w:p>
    <w:p w14:paraId="3D9C8E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安全防护：配电房为带电重要设备用房，施工前划定安全作业区，设置围挡警示，做好电气设备防水遮盖，落实高空作业、用电作业安全防护措施。</w:t>
      </w:r>
    </w:p>
    <w:p w14:paraId="2F6378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sz w:val="24"/>
          <w:szCs w:val="24"/>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 xml:space="preserve">核心施工工艺流程 </w:t>
      </w:r>
      <w:r>
        <w:rPr>
          <w:rFonts w:hint="eastAsia" w:ascii="仿宋" w:hAnsi="仿宋" w:eastAsia="仿宋" w:cs="仿宋"/>
          <w:sz w:val="24"/>
          <w:szCs w:val="24"/>
        </w:rPr>
        <w:t xml:space="preserve"> </w:t>
      </w:r>
    </w:p>
    <w:p w14:paraId="3D7837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墙顶部清理预处理→固定件安装→坡屋面承重骨架搭设→骨架防腐处理→坡屋面面板铺装→屋脊及节点收边→密封防水打胶→避雷系统接驳→试水验收→成品清理</w:t>
      </w:r>
    </w:p>
    <w:p w14:paraId="1B4CBF33">
      <w:pPr>
        <w:pStyle w:val="4"/>
        <w:numPr>
          <w:ilvl w:val="0"/>
          <w:numId w:val="3"/>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主要施工技术要点</w:t>
      </w:r>
    </w:p>
    <w:p w14:paraId="2B7C63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r>
        <w:rPr>
          <w:rFonts w:hint="default" w:ascii="仿宋" w:hAnsi="仿宋" w:eastAsia="仿宋" w:cs="仿宋"/>
          <w:sz w:val="24"/>
          <w:szCs w:val="24"/>
          <w:lang w:val="en-US" w:eastAsia="zh-CN"/>
        </w:rPr>
        <w:t xml:space="preserve"> 固定件安装</w:t>
      </w:r>
    </w:p>
    <w:p w14:paraId="25F44E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严格遵循“不破坏原有屋顶基层”原则，仅在</w:t>
      </w:r>
      <w:r>
        <w:rPr>
          <w:rFonts w:hint="eastAsia" w:ascii="仿宋" w:hAnsi="仿宋" w:eastAsia="仿宋" w:cs="仿宋"/>
          <w:sz w:val="24"/>
          <w:szCs w:val="24"/>
          <w:lang w:val="en-US" w:eastAsia="zh-CN"/>
        </w:rPr>
        <w:t>顶部侧面</w:t>
      </w:r>
      <w:r>
        <w:rPr>
          <w:rFonts w:hint="default" w:ascii="仿宋" w:hAnsi="仿宋" w:eastAsia="仿宋" w:cs="仿宋"/>
          <w:sz w:val="24"/>
          <w:szCs w:val="24"/>
          <w:lang w:val="en-US" w:eastAsia="zh-CN"/>
        </w:rPr>
        <w:t>部进行固定作业。采用膨胀螺栓将专用固定件与墙体可靠连接，固定件间距、植入深度符合设计规范，确保固定牢固，不损伤墙结构，同时避免触碰原有屋顶基层。</w:t>
      </w:r>
    </w:p>
    <w:p w14:paraId="5C41E5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坡屋面承重骨架搭设</w:t>
      </w:r>
    </w:p>
    <w:p w14:paraId="45E830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以墙顶部固定件为支撑点，搭设轻型钢结构檩条骨架，骨架采用螺栓连接方式，不打孔、不焊接于原有屋顶基层，确保骨架整体稳固，荷载符合建筑规范，骨架坡度严格按设计要求设置（一般不小于25°），保障雨水顺利排放。骨架搭设完成后，对所有钢结构构件进行防腐处理，延长使用寿命。</w:t>
      </w:r>
    </w:p>
    <w:p w14:paraId="3EF2689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节点密封与排水优化</w:t>
      </w:r>
    </w:p>
    <w:p w14:paraId="4DD164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屋脊、檐口、屋面与女儿墙交接处、瓦件搭接节点等关键部位，采用专用密封胶、防水收边条进行封闭处理，确保无渗漏缝隙；增设成品天沟及落水管，固定于女儿墙外侧，合理组织雨水排放，快速疏导雨水，避免雨水滞留于屋面或沿女儿墙渗入配电房。</w:t>
      </w:r>
    </w:p>
    <w:p w14:paraId="6FF35C9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避雷系统接驳</w:t>
      </w:r>
    </w:p>
    <w:p w14:paraId="511146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default" w:ascii="仿宋" w:hAnsi="仿宋" w:eastAsia="仿宋" w:cs="仿宋"/>
          <w:sz w:val="24"/>
          <w:szCs w:val="24"/>
          <w:lang w:val="en-US" w:eastAsia="zh-CN"/>
        </w:rPr>
        <w:t>将坡屋面金属骨架、瓦材固定件与校园原有避雷系统可靠焊接接驳，焊接处做好防腐处理，接地电阻符合电气安全规范，防止雷雨天气雷击影响配电房及变压器设备安全，施工过程中避免破坏原有避雷设施。</w:t>
      </w:r>
    </w:p>
    <w:p w14:paraId="1A154F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七、</w:t>
      </w:r>
      <w:bookmarkStart w:id="0" w:name="_Toc143059331"/>
      <w:bookmarkStart w:id="1" w:name="_Toc14876"/>
      <w:bookmarkStart w:id="2" w:name="_Toc15011"/>
      <w:bookmarkStart w:id="3" w:name="_Toc228173012"/>
      <w:bookmarkStart w:id="4" w:name="_Toc72857702"/>
      <w:bookmarkStart w:id="5" w:name="_Toc42511676"/>
      <w:r>
        <w:rPr>
          <w:rFonts w:hint="eastAsia" w:ascii="仿宋" w:hAnsi="仿宋" w:eastAsia="仿宋" w:cs="仿宋"/>
          <w:b/>
          <w:bCs/>
          <w:sz w:val="24"/>
          <w:szCs w:val="24"/>
          <w:lang w:val="en-US" w:eastAsia="zh-CN"/>
        </w:rPr>
        <w:t>文明安全施工要求</w:t>
      </w:r>
    </w:p>
    <w:p w14:paraId="15F3BFC0">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1、成交供应商应遵守工程建设安全文明施工的有关规定。认真落实各项安全保护措施，并随时接受甲方及有关部门的监督检查。</w:t>
      </w:r>
    </w:p>
    <w:p w14:paraId="1C3F34AE">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成交供应商应对进入施工现场的施工人员进行安全文明施工教育，配备必要的劳动保护用具，保证工程的施工安全和人身安全，特种作业施工人员必须具备相应资质。制定完善的施工组织设计，按照作业要求配备设施设备。</w:t>
      </w:r>
    </w:p>
    <w:p w14:paraId="3FDDFC78">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3、成交供应商应注意保护施工现场邻近建筑物、交通和附近居民、学生的安全，防止因施工不当使附近居民、学生的人身或财产遭受损失。</w:t>
      </w:r>
    </w:p>
    <w:p w14:paraId="0740B43A">
      <w:pPr>
        <w:pStyle w:val="5"/>
        <w:keepNext w:val="0"/>
        <w:keepLines w:val="0"/>
        <w:pageBreakBefore w:val="0"/>
        <w:shd w:val="clear" w:color="auto" w:fill="FFFFFF"/>
        <w:kinsoku/>
        <w:wordWrap/>
        <w:overflowPunct/>
        <w:topLinePunct w:val="0"/>
        <w:autoSpaceDE/>
        <w:autoSpaceDN/>
        <w:bidi w:val="0"/>
        <w:adjustRightIn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4、由于成交供应商安全措施不力造成事故的责任和由此发生的费用，由成交供应商承担。在施工过程中，造成的一切安全事故，由成交供应商自行承担全部经济责任和法律责任。</w:t>
      </w:r>
    </w:p>
    <w:p w14:paraId="638316B6">
      <w:pPr>
        <w:widowControl w:val="0"/>
        <w:adjustRightInd w:val="0"/>
        <w:snapToGrid w:val="0"/>
        <w:spacing w:before="0" w:beforeAutospacing="0" w:after="0" w:afterAutospacing="0"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成交供应商必须购买工程险，对项目进行保险；为现场施工人员购买意外险、缴纳社保。如因施工人员未参加保险致甲方遭受损失的，甲方可向成交供应商追偿。相关资料在合同签订后5天内提交给甲方，如5天内无法提供，超期按5000元/天进行处罚，直接从履约保证金中扣除，成交供应商在3天内整改到位，可退还。</w:t>
      </w:r>
      <w:r>
        <w:rPr>
          <w:rFonts w:hint="eastAsia" w:ascii="仿宋" w:hAnsi="仿宋" w:eastAsia="仿宋" w:cs="仿宋"/>
          <w:b/>
          <w:bCs/>
          <w:color w:val="auto"/>
          <w:kern w:val="2"/>
          <w:sz w:val="24"/>
          <w:szCs w:val="24"/>
          <w:highlight w:val="none"/>
          <w:lang w:val="en-US" w:eastAsia="zh-CN" w:bidi="ar-SA"/>
        </w:rPr>
        <w:t>如整改期限超期后仍未提供，采购人可终止合同。</w:t>
      </w:r>
      <w:bookmarkStart w:id="6" w:name="OLE_LINK9"/>
      <w:r>
        <w:rPr>
          <w:rFonts w:hint="eastAsia" w:ascii="仿宋" w:hAnsi="仿宋" w:eastAsia="仿宋" w:cs="仿宋"/>
          <w:b/>
          <w:bCs/>
          <w:color w:val="auto"/>
          <w:kern w:val="2"/>
          <w:sz w:val="24"/>
          <w:szCs w:val="24"/>
          <w:highlight w:val="none"/>
          <w:lang w:val="en-US" w:eastAsia="zh-CN" w:bidi="ar-SA"/>
        </w:rPr>
        <w:t>成交即视为</w:t>
      </w:r>
      <w:bookmarkEnd w:id="6"/>
      <w:r>
        <w:rPr>
          <w:rFonts w:hint="eastAsia" w:ascii="仿宋" w:hAnsi="仿宋" w:eastAsia="仿宋" w:cs="仿宋"/>
          <w:b/>
          <w:bCs/>
          <w:color w:val="auto"/>
          <w:sz w:val="24"/>
          <w:szCs w:val="24"/>
          <w:highlight w:val="none"/>
          <w:lang w:val="en-US" w:eastAsia="zh-CN"/>
        </w:rPr>
        <w:t>承诺该项目所施工人员全员享有社保，缴纳工程险，意外险。</w:t>
      </w:r>
    </w:p>
    <w:p w14:paraId="0A5CA1F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6、成交供应商在施工全过程中，要认真做好材料和成品的保护，因失窃失火或其他原因而造成的损失均由成交供应商负责。凡由此而损及甲方利益的，成交供应商应负责赔偿甲方的损失。</w:t>
      </w:r>
    </w:p>
    <w:p w14:paraId="6EF8F24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7、成交供应商因自行核对确定施工人员具备施工就业相关资质，按照甲方入校要求办理进校流程。</w:t>
      </w:r>
    </w:p>
    <w:p w14:paraId="03E3E3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8、按照招标方入校要求办理进校流程，未经备案员工不许进场。真实报备人员情况，不虚报不漏报，有人员变动及增加及时报备，一旦发现问题，做违约处理。情节严重时，采购人可主动无条件解除合同。</w:t>
      </w:r>
    </w:p>
    <w:p w14:paraId="73D23542">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    9、合同签订前，采购人可对成交供应商提供的项目负责人进行审核，如审核不通过，采购人有权要求成交供应商更换项目负责人。</w:t>
      </w:r>
    </w:p>
    <w:p w14:paraId="003C0D5C">
      <w:pPr>
        <w:pStyle w:val="2"/>
        <w:keepNext w:val="0"/>
        <w:keepLines w:val="0"/>
        <w:tabs>
          <w:tab w:val="left" w:pos="0"/>
        </w:tabs>
        <w:ind w:firstLine="42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八</w:t>
      </w:r>
      <w:r>
        <w:rPr>
          <w:rFonts w:hint="eastAsia" w:ascii="仿宋" w:hAnsi="仿宋" w:eastAsia="仿宋" w:cs="仿宋"/>
          <w:color w:val="auto"/>
          <w:sz w:val="24"/>
          <w:szCs w:val="24"/>
          <w:highlight w:val="none"/>
        </w:rPr>
        <w:t>、保修要求</w:t>
      </w:r>
      <w:bookmarkEnd w:id="0"/>
      <w:bookmarkEnd w:id="1"/>
      <w:bookmarkEnd w:id="2"/>
      <w:bookmarkEnd w:id="3"/>
      <w:bookmarkEnd w:id="4"/>
      <w:bookmarkEnd w:id="5"/>
    </w:p>
    <w:p w14:paraId="0CFFD45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施工完毕，并在工程竣工验收合格办理移交手续之日，在签订的工程质量保修书期限内，为采购人提供免费服务。</w:t>
      </w:r>
    </w:p>
    <w:p w14:paraId="727125F7">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应与采购人签订工程质量保修书，</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在质量保修期内，按照有关法律、法规、规章的管理规定和双方约定，承担本工程质量保修责任。</w:t>
      </w:r>
    </w:p>
    <w:p w14:paraId="4ED831B2">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要对其所提供的施工、材料、设备及其内在工程质量负全部责任。</w:t>
      </w:r>
    </w:p>
    <w:p w14:paraId="6AF15513">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4、质保期内因不能排除的故障而影响工作的情况每发生一次，其质保期相应延长60天，质保期内因系统本身缺陷造成各种故障应由成交供应商免费予以更换。</w:t>
      </w:r>
    </w:p>
    <w:p w14:paraId="788C4735">
      <w:pPr>
        <w:keepNext w:val="0"/>
        <w:keepLines w:val="0"/>
        <w:pageBreakBefore w:val="0"/>
        <w:kinsoku/>
        <w:wordWrap/>
        <w:overflowPunct/>
        <w:topLinePunct w:val="0"/>
        <w:bidi w:val="0"/>
        <w:spacing w:line="360" w:lineRule="auto"/>
        <w:ind w:firstLine="482" w:firstLineChars="20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九、其他施工要求</w:t>
      </w:r>
    </w:p>
    <w:p w14:paraId="3211C05E">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1、遵守水电施工基本规则规范，安全防护措施必须到位。</w:t>
      </w:r>
    </w:p>
    <w:p w14:paraId="4B16FEC3">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2、施工效果整洁美观。</w:t>
      </w:r>
    </w:p>
    <w:p w14:paraId="1E544D41">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3、施工完成后确保排水设施完备，无使用问题及安全隐患，</w:t>
      </w:r>
      <w:r>
        <w:rPr>
          <w:rFonts w:hint="eastAsia" w:ascii="仿宋" w:hAnsi="仿宋" w:eastAsia="仿宋" w:cs="仿宋"/>
          <w:b/>
          <w:bCs/>
          <w:color w:val="auto"/>
          <w:kern w:val="2"/>
          <w:sz w:val="24"/>
          <w:szCs w:val="24"/>
          <w:highlight w:val="none"/>
          <w:lang w:val="en-US" w:eastAsia="zh-CN" w:bidi="ar-SA"/>
        </w:rPr>
        <w:t>预留检修口方便检修人员进入屋面。</w:t>
      </w:r>
    </w:p>
    <w:p w14:paraId="2FCE394B">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w:t>
      </w:r>
      <w:bookmarkStart w:id="7" w:name="OLE_LINK4"/>
      <w:bookmarkStart w:id="8" w:name="OLE_LINK3"/>
      <w:r>
        <w:rPr>
          <w:rFonts w:hint="eastAsia" w:ascii="仿宋" w:hAnsi="仿宋" w:eastAsia="仿宋" w:cs="仿宋"/>
          <w:b w:val="0"/>
          <w:bCs w:val="0"/>
          <w:color w:val="auto"/>
          <w:kern w:val="2"/>
          <w:sz w:val="24"/>
          <w:szCs w:val="24"/>
          <w:highlight w:val="none"/>
          <w:lang w:val="en-US" w:eastAsia="zh-CN" w:bidi="ar-SA"/>
        </w:rPr>
        <w:t>自行考虑施工中可能存在的风险和成本各种因素，最终需满足用户的要求。</w:t>
      </w:r>
    </w:p>
    <w:p w14:paraId="6AD0FEF7">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5、质保期：按工程质量保修书执行。</w:t>
      </w:r>
    </w:p>
    <w:p w14:paraId="333E17C5">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6、他未尽事宜按相关专业规范、规程执行。</w:t>
      </w:r>
    </w:p>
    <w:p w14:paraId="48668E22">
      <w:pPr>
        <w:pStyle w:val="10"/>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bidi w:val="0"/>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7、供应商报价中含本工程所有垃圾清运费、保险费、卫生保洁费等一切费用，投标前需进行现场踏勘，所有工程材料必须现场验收后才允许施工 。</w:t>
      </w:r>
    </w:p>
    <w:bookmarkEnd w:id="7"/>
    <w:bookmarkEnd w:id="8"/>
    <w:p w14:paraId="543300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p>
    <w:p w14:paraId="336485A0">
      <w:pPr>
        <w:pStyle w:val="4"/>
        <w:rPr>
          <w:rFonts w:hint="eastAsia" w:ascii="仿宋" w:hAnsi="仿宋" w:eastAsia="仿宋" w:cs="仿宋"/>
          <w:sz w:val="24"/>
          <w:szCs w:val="24"/>
          <w:lang w:val="en-US" w:eastAsia="zh-CN"/>
        </w:rPr>
      </w:pPr>
    </w:p>
    <w:p w14:paraId="78E3BA93">
      <w:pPr>
        <w:rPr>
          <w:rFonts w:hint="eastAsia" w:ascii="仿宋" w:hAnsi="仿宋" w:eastAsia="仿宋" w:cs="仿宋"/>
          <w:sz w:val="24"/>
          <w:szCs w:val="24"/>
          <w:lang w:val="en-US" w:eastAsia="zh-CN"/>
        </w:rPr>
      </w:pPr>
    </w:p>
    <w:p w14:paraId="160F0E7F">
      <w:pPr>
        <w:pStyle w:val="4"/>
        <w:rPr>
          <w:rFonts w:hint="eastAsia" w:ascii="仿宋" w:hAnsi="仿宋" w:eastAsia="仿宋" w:cs="仿宋"/>
          <w:sz w:val="24"/>
          <w:szCs w:val="24"/>
          <w:lang w:val="en-US" w:eastAsia="zh-CN"/>
        </w:rPr>
      </w:pPr>
    </w:p>
    <w:p w14:paraId="371D2994">
      <w:pPr>
        <w:rPr>
          <w:rFonts w:hint="eastAsia" w:ascii="仿宋" w:hAnsi="仿宋" w:eastAsia="仿宋" w:cs="仿宋"/>
          <w:sz w:val="24"/>
          <w:szCs w:val="24"/>
          <w:lang w:val="en-US" w:eastAsia="zh-CN"/>
        </w:rPr>
      </w:pPr>
    </w:p>
    <w:p w14:paraId="5237BD3D">
      <w:pPr>
        <w:pStyle w:val="4"/>
        <w:rPr>
          <w:rFonts w:hint="eastAsia" w:ascii="仿宋" w:hAnsi="仿宋" w:eastAsia="仿宋" w:cs="仿宋"/>
          <w:sz w:val="24"/>
          <w:szCs w:val="24"/>
          <w:lang w:val="en-US" w:eastAsia="zh-CN"/>
        </w:rPr>
      </w:pPr>
    </w:p>
    <w:p w14:paraId="65788FA5">
      <w:pPr>
        <w:rPr>
          <w:rFonts w:hint="eastAsia" w:ascii="仿宋" w:hAnsi="仿宋" w:eastAsia="仿宋" w:cs="仿宋"/>
          <w:sz w:val="24"/>
          <w:szCs w:val="24"/>
          <w:lang w:val="en-US" w:eastAsia="zh-CN"/>
        </w:rPr>
      </w:pPr>
    </w:p>
    <w:p w14:paraId="015A2E80">
      <w:pPr>
        <w:pStyle w:val="4"/>
        <w:rPr>
          <w:rFonts w:hint="eastAsia" w:ascii="仿宋" w:hAnsi="仿宋" w:eastAsia="仿宋" w:cs="仿宋"/>
          <w:sz w:val="24"/>
          <w:szCs w:val="24"/>
          <w:lang w:val="en-US" w:eastAsia="zh-CN"/>
        </w:rPr>
      </w:pPr>
    </w:p>
    <w:p w14:paraId="50D38BD5">
      <w:pPr>
        <w:rPr>
          <w:rFonts w:hint="eastAsia" w:ascii="仿宋" w:hAnsi="仿宋" w:eastAsia="仿宋" w:cs="仿宋"/>
          <w:sz w:val="24"/>
          <w:szCs w:val="24"/>
          <w:lang w:val="en-US" w:eastAsia="zh-CN"/>
        </w:rPr>
      </w:pPr>
    </w:p>
    <w:p w14:paraId="580A02A7">
      <w:pPr>
        <w:pStyle w:val="4"/>
        <w:rPr>
          <w:rFonts w:hint="eastAsia" w:ascii="仿宋" w:hAnsi="仿宋" w:eastAsia="仿宋" w:cs="仿宋"/>
          <w:sz w:val="24"/>
          <w:szCs w:val="24"/>
          <w:lang w:val="en-US" w:eastAsia="zh-CN"/>
        </w:rPr>
      </w:pPr>
    </w:p>
    <w:p w14:paraId="3DE8CD39">
      <w:pPr>
        <w:rPr>
          <w:rFonts w:hint="eastAsia" w:ascii="仿宋" w:hAnsi="仿宋" w:eastAsia="仿宋" w:cs="仿宋"/>
          <w:sz w:val="24"/>
          <w:szCs w:val="24"/>
          <w:lang w:val="en-US" w:eastAsia="zh-CN"/>
        </w:rPr>
      </w:pPr>
    </w:p>
    <w:p w14:paraId="25F6DD05">
      <w:pPr>
        <w:pStyle w:val="4"/>
        <w:rPr>
          <w:rFonts w:hint="eastAsia" w:ascii="仿宋" w:hAnsi="仿宋" w:eastAsia="仿宋" w:cs="仿宋"/>
          <w:sz w:val="24"/>
          <w:szCs w:val="24"/>
          <w:lang w:val="en-US" w:eastAsia="zh-CN"/>
        </w:rPr>
      </w:pPr>
    </w:p>
    <w:p w14:paraId="05FC61D4">
      <w:pPr>
        <w:rPr>
          <w:rFonts w:hint="eastAsia" w:ascii="仿宋" w:hAnsi="仿宋" w:eastAsia="仿宋" w:cs="仿宋"/>
          <w:sz w:val="24"/>
          <w:szCs w:val="24"/>
          <w:lang w:val="en-US" w:eastAsia="zh-CN"/>
        </w:rPr>
      </w:pPr>
    </w:p>
    <w:p w14:paraId="68D55EA3">
      <w:pPr>
        <w:pStyle w:val="4"/>
        <w:rPr>
          <w:rFonts w:hint="eastAsia" w:ascii="仿宋" w:hAnsi="仿宋" w:eastAsia="仿宋" w:cs="仿宋"/>
          <w:sz w:val="24"/>
          <w:szCs w:val="24"/>
          <w:lang w:val="en-US" w:eastAsia="zh-CN"/>
        </w:rPr>
      </w:pPr>
    </w:p>
    <w:p w14:paraId="756EB450">
      <w:pPr>
        <w:pStyle w:val="3"/>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3"/>
        <w:rPr>
          <w:rFonts w:hint="eastAsia" w:ascii="宋体" w:hAnsi="宋体" w:eastAsia="宋体" w:cs="宋体"/>
          <w:sz w:val="21"/>
          <w:szCs w:val="21"/>
        </w:rPr>
      </w:pPr>
    </w:p>
    <w:p w14:paraId="20914F8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3"/>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2365C58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w:t>
      </w:r>
      <w:r>
        <w:rPr>
          <w:rFonts w:hint="eastAsia" w:ascii="宋体" w:hAnsi="宋体" w:eastAsia="宋体" w:cs="宋体"/>
          <w:sz w:val="24"/>
          <w:szCs w:val="24"/>
          <w:lang w:val="en-US" w:eastAsia="zh-CN"/>
        </w:rPr>
        <w:t xml:space="preserve">   日</w:t>
      </w:r>
    </w:p>
    <w:p w14:paraId="520D7D0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52C478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3B9F9C6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614AE9BC">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17B9D7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0976B66">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2B2BEAED">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5F00947">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172FF6B">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D62588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18C61419">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4F95DE4E">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8"/>
          <w:szCs w:val="28"/>
          <w:lang w:val="en-US" w:eastAsia="zh-CN"/>
        </w:rPr>
      </w:pPr>
    </w:p>
    <w:p w14:paraId="59E3CCD0">
      <w:pPr>
        <w:pStyle w:val="3"/>
        <w:jc w:val="center"/>
        <w:rPr>
          <w:rFonts w:hint="eastAsia" w:ascii="宋体" w:hAnsi="宋体" w:eastAsia="宋体" w:cs="宋体"/>
          <w:b/>
          <w:bCs/>
          <w:sz w:val="21"/>
          <w:szCs w:val="21"/>
        </w:rPr>
      </w:pPr>
      <w:r>
        <w:rPr>
          <w:rFonts w:hint="eastAsia" w:ascii="宋体" w:hAnsi="宋体" w:eastAsia="宋体" w:cs="宋体"/>
          <w:b/>
          <w:bCs/>
          <w:sz w:val="28"/>
          <w:szCs w:val="28"/>
        </w:rPr>
        <w:t>现 场 勘 察 证 明</w:t>
      </w:r>
    </w:p>
    <w:p w14:paraId="1BD22221">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w:t>
      </w:r>
      <w:r>
        <w:rPr>
          <w:rFonts w:hint="eastAsia"/>
          <w:lang w:val="en-US" w:eastAsia="zh-CN"/>
        </w:rPr>
        <w:t>浙江水利水电学院南浔校区配电房屋顶改造项目</w:t>
      </w:r>
    </w:p>
    <w:p w14:paraId="5F3C0FCA">
      <w:pPr>
        <w:pStyle w:val="3"/>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1ECEF486">
      <w:pPr>
        <w:pStyle w:val="3"/>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方正仿宋_GB2312" w:hAnsi="方正仿宋_GB2312" w:eastAsia="方正仿宋_GB2312" w:cs="方正仿宋_GB2312"/>
        </w:rPr>
      </w:pPr>
      <w:r>
        <w:rPr>
          <w:rFonts w:hint="eastAsia" w:ascii="宋体" w:hAnsi="宋体" w:eastAsia="宋体" w:cs="宋体"/>
          <w:sz w:val="24"/>
          <w:szCs w:val="24"/>
          <w:lang w:val="en-US" w:eastAsia="zh-CN"/>
        </w:rPr>
        <w:t>勘察时间：       年       月      日</w:t>
      </w:r>
    </w:p>
    <w:p w14:paraId="38CD5C5A">
      <w:pPr>
        <w:pStyle w:val="3"/>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default" w:ascii="宋体" w:hAnsi="宋体" w:eastAsia="宋体" w:cs="宋体"/>
          <w:sz w:val="28"/>
          <w:szCs w:val="28"/>
          <w:lang w:val="en-US" w:eastAsia="zh-CN"/>
        </w:rPr>
        <w:sectPr>
          <w:pgSz w:w="11906" w:h="16838"/>
          <w:pgMar w:top="1440" w:right="1800" w:bottom="1440" w:left="1800" w:header="851" w:footer="992" w:gutter="0"/>
          <w:cols w:space="425" w:num="1"/>
          <w:docGrid w:type="lines" w:linePitch="312" w:charSpace="0"/>
        </w:sectPr>
      </w:pPr>
    </w:p>
    <w:p w14:paraId="100B8103">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980EE"/>
    <w:multiLevelType w:val="singleLevel"/>
    <w:tmpl w:val="BCF980EE"/>
    <w:lvl w:ilvl="0" w:tentative="0">
      <w:start w:val="2"/>
      <w:numFmt w:val="decimal"/>
      <w:suff w:val="nothing"/>
      <w:lvlText w:val="%1、"/>
      <w:lvlJc w:val="left"/>
    </w:lvl>
  </w:abstractNum>
  <w:abstractNum w:abstractNumId="1">
    <w:nsid w:val="E7C31839"/>
    <w:multiLevelType w:val="singleLevel"/>
    <w:tmpl w:val="E7C31839"/>
    <w:lvl w:ilvl="0" w:tentative="0">
      <w:start w:val="2"/>
      <w:numFmt w:val="chineseCounting"/>
      <w:suff w:val="nothing"/>
      <w:lvlText w:val="%1、"/>
      <w:lvlJc w:val="left"/>
      <w:rPr>
        <w:rFonts w:hint="eastAsia"/>
      </w:rPr>
    </w:lvl>
  </w:abstractNum>
  <w:abstractNum w:abstractNumId="2">
    <w:nsid w:val="7A9598B5"/>
    <w:multiLevelType w:val="singleLevel"/>
    <w:tmpl w:val="7A9598B5"/>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jQ2NDQ5MzQ1YjBiOTJmZTNmMzVmYjBjYTkyNGQifQ=="/>
  </w:docVars>
  <w:rsids>
    <w:rsidRoot w:val="00000000"/>
    <w:rsid w:val="005A4F5D"/>
    <w:rsid w:val="04EA60D2"/>
    <w:rsid w:val="05506536"/>
    <w:rsid w:val="084D3543"/>
    <w:rsid w:val="08634F73"/>
    <w:rsid w:val="0A3762C6"/>
    <w:rsid w:val="0DAB0E4B"/>
    <w:rsid w:val="0F4E7F38"/>
    <w:rsid w:val="11472E91"/>
    <w:rsid w:val="12320CA3"/>
    <w:rsid w:val="143A58D7"/>
    <w:rsid w:val="1511511F"/>
    <w:rsid w:val="15E72AD6"/>
    <w:rsid w:val="1A136006"/>
    <w:rsid w:val="1B785751"/>
    <w:rsid w:val="1D4E55A7"/>
    <w:rsid w:val="204131A1"/>
    <w:rsid w:val="205522ED"/>
    <w:rsid w:val="247D05F0"/>
    <w:rsid w:val="26E90395"/>
    <w:rsid w:val="274C4518"/>
    <w:rsid w:val="291D0C4F"/>
    <w:rsid w:val="298A24BC"/>
    <w:rsid w:val="2B57222C"/>
    <w:rsid w:val="2F2443BA"/>
    <w:rsid w:val="30D7574D"/>
    <w:rsid w:val="3115303A"/>
    <w:rsid w:val="357B3338"/>
    <w:rsid w:val="36196205"/>
    <w:rsid w:val="398715AC"/>
    <w:rsid w:val="3AC30F2B"/>
    <w:rsid w:val="3B6C6CCD"/>
    <w:rsid w:val="3C357C06"/>
    <w:rsid w:val="3EC7391B"/>
    <w:rsid w:val="40A86BF9"/>
    <w:rsid w:val="41B31543"/>
    <w:rsid w:val="41B65345"/>
    <w:rsid w:val="482D790F"/>
    <w:rsid w:val="4A8F7C01"/>
    <w:rsid w:val="4AA77F21"/>
    <w:rsid w:val="4BA218D1"/>
    <w:rsid w:val="4CE94821"/>
    <w:rsid w:val="4FFC1F40"/>
    <w:rsid w:val="50DF296A"/>
    <w:rsid w:val="51D82E19"/>
    <w:rsid w:val="552A55E2"/>
    <w:rsid w:val="56413A72"/>
    <w:rsid w:val="56605A87"/>
    <w:rsid w:val="583A79D1"/>
    <w:rsid w:val="5B2D587B"/>
    <w:rsid w:val="5FC92D50"/>
    <w:rsid w:val="612C7E55"/>
    <w:rsid w:val="61F63256"/>
    <w:rsid w:val="6221580D"/>
    <w:rsid w:val="65984BDE"/>
    <w:rsid w:val="681F5143"/>
    <w:rsid w:val="687E00BB"/>
    <w:rsid w:val="6EA63153"/>
    <w:rsid w:val="75371E49"/>
    <w:rsid w:val="75D348A3"/>
    <w:rsid w:val="780B634D"/>
    <w:rsid w:val="78815817"/>
    <w:rsid w:val="7D9B3FBF"/>
    <w:rsid w:val="7E123B46"/>
    <w:rsid w:val="7EB51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ind w:firstLine="200" w:firstLineChars="200"/>
      <w:outlineLvl w:val="1"/>
    </w:pPr>
    <w:rPr>
      <w:rFonts w:ascii="Arial" w:hAnsi="Arial"/>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4">
    <w:name w:val="toc 1"/>
    <w:basedOn w:val="1"/>
    <w:next w:val="1"/>
    <w:qFormat/>
    <w:uiPriority w:val="39"/>
    <w:pPr>
      <w:tabs>
        <w:tab w:val="right" w:leader="dot" w:pos="9403"/>
      </w:tabs>
      <w:snapToGrid w:val="0"/>
      <w:spacing w:line="360" w:lineRule="auto"/>
    </w:pPr>
    <w:rPr>
      <w:b/>
      <w:bCs/>
      <w:caps/>
    </w:rPr>
  </w:style>
  <w:style w:type="paragraph" w:styleId="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3149</Words>
  <Characters>3256</Characters>
  <Lines>0</Lines>
  <Paragraphs>0</Paragraphs>
  <TotalTime>1</TotalTime>
  <ScaleCrop>false</ScaleCrop>
  <LinksUpToDate>false</LinksUpToDate>
  <CharactersWithSpaces>3449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2025-07-04T01:35:00Z</dcterms:created>
  <dc:creator>Administrator</dc:creator>
  <cp:lastModifiedBy>A盖世小可爱</cp:lastModifiedBy>
  <cp:lastPrinted>2026-05-26T00:32:00Z</cp:lastPrinted>
  <dcterms:modified xsi:type="dcterms:W3CDTF">2026-05-27T01:24:06Z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eyJoZGlkIjoiYzVkZTg1NDIyN2I4NWExY2RjNzc1N2MyMmNiMTFhODEiLCJ1c2VySWQiOiI1NTIxNjA3MzEifQ==</vt:lpwstr>
  </property>
  <property fmtid="{D5CDD505-2E9C-101B-9397-08002B2CF9AE}" pid="4" name="ICV">
    <vt:lpwstr>E836B6E4679849A6A190802EEB303023_13</vt:lpwstr>
  </property>
</Properties>
</file>