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lang w:val="en-US" w:eastAsia="zh-CN"/>
        </w:rPr>
      </w:pPr>
      <w:r>
        <w:rPr>
          <w:rFonts w:hint="eastAsia"/>
          <w:lang w:val="en-US" w:eastAsia="zh-CN"/>
        </w:rPr>
        <w:t>浙江水利水电学院钱塘校区水表及水表井修复项目技术指标及报价单</w:t>
      </w:r>
    </w:p>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工程量清单</w:t>
      </w:r>
    </w:p>
    <w:tbl>
      <w:tblPr>
        <w:tblStyle w:val="6"/>
        <w:tblW w:w="86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076"/>
        <w:gridCol w:w="1016"/>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1.规格:DN100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1.规格:DN80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1.规格:DN50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1.规格:DN40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1.规格:DN25</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1.规格:DN20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补偿器</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1.规格、压力等级:DN100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补偿器</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1.规格、压力等级:DN80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补偿器</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1.规格、压力等级:DN50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采集器拆除、安装、调试</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1.采集器拆除、安装、调试</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数据对接</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1.采集器数据对接到软件平台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设备拆除</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1.旧表拆除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2、阀门拆除</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管道切割</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1.管道切割</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法兰安装</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1.法兰安装</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水表井修复（包含材料人工）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pStyle w:val="5"/>
        <w:snapToGrid w:val="0"/>
        <w:spacing w:before="190" w:after="190" w:line="240" w:lineRule="auto"/>
        <w:jc w:val="both"/>
        <w:outlineLvl w:val="0"/>
        <w:rPr>
          <w:rFonts w:hint="eastAsia" w:hAnsi="宋体" w:cs="宋体"/>
        </w:rPr>
      </w:pPr>
    </w:p>
    <w:p>
      <w:pPr>
        <w:pStyle w:val="5"/>
        <w:snapToGrid w:val="0"/>
        <w:spacing w:before="190" w:after="190" w:line="240" w:lineRule="auto"/>
        <w:jc w:val="both"/>
        <w:outlineLvl w:val="0"/>
        <w:rPr>
          <w:rFonts w:hint="eastAsia" w:hAnsi="宋体" w:cs="宋体"/>
        </w:rPr>
      </w:pPr>
    </w:p>
    <w:tbl>
      <w:tblPr>
        <w:tblStyle w:val="6"/>
        <w:tblW w:w="948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420"/>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pStyle w:val="5"/>
              <w:snapToGrid w:val="0"/>
              <w:spacing w:before="190" w:after="190" w:line="240" w:lineRule="auto"/>
              <w:jc w:val="both"/>
              <w:outlineLvl w:val="0"/>
              <w:rPr>
                <w:rFonts w:ascii="Arial" w:hAnsi="新宋体" w:eastAsia="新宋体" w:cs="Arial"/>
                <w:b/>
              </w:rPr>
            </w:pPr>
            <w:r>
              <w:rPr>
                <w:rFonts w:hint="eastAsia" w:hAnsi="宋体" w:cs="宋体"/>
              </w:rPr>
              <w:t>序号</w:t>
            </w:r>
          </w:p>
        </w:tc>
        <w:tc>
          <w:tcPr>
            <w:tcW w:w="2420" w:type="dxa"/>
            <w:noWrap w:val="0"/>
            <w:vAlign w:val="center"/>
          </w:tcPr>
          <w:p>
            <w:pPr>
              <w:pStyle w:val="5"/>
              <w:snapToGrid w:val="0"/>
              <w:spacing w:before="190" w:after="190" w:line="240" w:lineRule="auto"/>
              <w:jc w:val="center"/>
              <w:outlineLvl w:val="0"/>
              <w:rPr>
                <w:rFonts w:ascii="Arial" w:hAnsi="新宋体" w:eastAsia="新宋体" w:cs="Arial"/>
                <w:b/>
              </w:rPr>
            </w:pPr>
            <w:r>
              <w:rPr>
                <w:rFonts w:hint="eastAsia" w:hAnsi="宋体" w:cs="宋体"/>
              </w:rPr>
              <w:t>名称</w:t>
            </w:r>
          </w:p>
        </w:tc>
        <w:tc>
          <w:tcPr>
            <w:tcW w:w="6267" w:type="dxa"/>
            <w:noWrap w:val="0"/>
            <w:vAlign w:val="center"/>
          </w:tcPr>
          <w:p>
            <w:pPr>
              <w:pStyle w:val="5"/>
              <w:snapToGrid w:val="0"/>
              <w:spacing w:before="190" w:after="190" w:line="240" w:lineRule="auto"/>
              <w:jc w:val="center"/>
              <w:outlineLvl w:val="0"/>
              <w:rPr>
                <w:rFonts w:ascii="Arial" w:hAnsi="新宋体" w:eastAsia="新宋体" w:cs="Arial"/>
                <w:b/>
              </w:rPr>
            </w:pPr>
            <w:r>
              <w:rPr>
                <w:rFonts w:hint="eastAsia" w:hAnsi="宋体" w:cs="宋体"/>
              </w:rPr>
              <w:t>功能及技术参数要求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spacing w:line="360" w:lineRule="auto"/>
              <w:jc w:val="center"/>
              <w:rPr>
                <w:rFonts w:hint="eastAsia" w:ascii="Arial" w:hAnsi="新宋体" w:eastAsia="新宋体" w:cs="Arial"/>
                <w:sz w:val="24"/>
                <w:lang w:eastAsia="zh-CN"/>
              </w:rPr>
            </w:pPr>
            <w:r>
              <w:rPr>
                <w:rFonts w:hint="eastAsia" w:ascii="Arial" w:hAnsi="新宋体" w:eastAsia="新宋体" w:cs="Arial"/>
                <w:sz w:val="24"/>
                <w:lang w:val="en-US" w:eastAsia="zh-CN"/>
              </w:rPr>
              <w:t>1</w:t>
            </w:r>
          </w:p>
        </w:tc>
        <w:tc>
          <w:tcPr>
            <w:tcW w:w="2420" w:type="dxa"/>
            <w:noWrap w:val="0"/>
            <w:vAlign w:val="center"/>
          </w:tcPr>
          <w:p>
            <w:pPr>
              <w:pStyle w:val="3"/>
              <w:spacing w:before="120" w:after="120" w:line="360" w:lineRule="auto"/>
              <w:rPr>
                <w:rFonts w:ascii="Arial" w:hAnsi="新宋体" w:eastAsia="新宋体" w:cs="Arial"/>
                <w:b w:val="0"/>
                <w:bCs w:val="0"/>
                <w:sz w:val="24"/>
                <w:szCs w:val="24"/>
              </w:rPr>
            </w:pPr>
            <w:r>
              <w:rPr>
                <w:rFonts w:hint="eastAsia" w:ascii="Arial" w:hAnsi="新宋体" w:eastAsia="新宋体" w:cs="Arial"/>
                <w:b w:val="0"/>
                <w:bCs w:val="0"/>
                <w:sz w:val="24"/>
                <w:szCs w:val="24"/>
              </w:rPr>
              <w:t>水表</w:t>
            </w:r>
          </w:p>
        </w:tc>
        <w:tc>
          <w:tcPr>
            <w:tcW w:w="6267" w:type="dxa"/>
            <w:noWrap w:val="0"/>
            <w:vAlign w:val="center"/>
          </w:tcPr>
          <w:p>
            <w:pPr>
              <w:jc w:val="left"/>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温度等级：T30；</w:t>
            </w:r>
          </w:p>
          <w:p>
            <w:pPr>
              <w:ind w:firstLine="480" w:firstLineChars="200"/>
              <w:rPr>
                <w:rFonts w:ascii="宋体" w:hAnsi="宋体" w:cs="宋体"/>
                <w:sz w:val="24"/>
              </w:rPr>
            </w:pPr>
            <w:r>
              <w:rPr>
                <w:rFonts w:hint="eastAsia" w:ascii="宋体" w:hAnsi="宋体" w:cs="宋体"/>
                <w:sz w:val="24"/>
              </w:rPr>
              <w:t>▲精度等级：</w:t>
            </w:r>
          </w:p>
          <w:tbl>
            <w:tblPr>
              <w:tblStyle w:val="6"/>
              <w:tblW w:w="531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9"/>
              <w:gridCol w:w="1313"/>
              <w:gridCol w:w="1055"/>
              <w:gridCol w:w="1027"/>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129" w:type="dxa"/>
                  <w:vMerge w:val="restart"/>
                  <w:noWrap w:val="0"/>
                  <w:vAlign w:val="center"/>
                </w:tcPr>
                <w:p>
                  <w:pPr>
                    <w:widowControl/>
                    <w:jc w:val="center"/>
                    <w:rPr>
                      <w:rFonts w:ascii="宋体" w:hAnsi="宋体" w:cs="宋体"/>
                      <w:kern w:val="0"/>
                      <w:sz w:val="24"/>
                    </w:rPr>
                  </w:pPr>
                  <w:r>
                    <w:rPr>
                      <w:rFonts w:hint="eastAsia" w:ascii="宋体" w:hAnsi="宋体" w:cs="宋体"/>
                      <w:kern w:val="0"/>
                      <w:sz w:val="24"/>
                    </w:rPr>
                    <w:t>公称口径DN</w:t>
                  </w:r>
                </w:p>
                <w:p>
                  <w:pPr>
                    <w:widowControl/>
                    <w:jc w:val="center"/>
                    <w:rPr>
                      <w:rFonts w:ascii="宋体" w:hAnsi="宋体" w:cs="宋体"/>
                      <w:kern w:val="0"/>
                      <w:sz w:val="24"/>
                    </w:rPr>
                  </w:pPr>
                  <w:r>
                    <w:rPr>
                      <w:rFonts w:hint="eastAsia" w:ascii="宋体" w:hAnsi="宋体" w:cs="宋体"/>
                      <w:kern w:val="0"/>
                      <w:sz w:val="24"/>
                    </w:rPr>
                    <w:t>mm</w:t>
                  </w:r>
                </w:p>
              </w:tc>
              <w:tc>
                <w:tcPr>
                  <w:tcW w:w="4190" w:type="dxa"/>
                  <w:gridSpan w:val="4"/>
                  <w:noWrap w:val="0"/>
                  <w:vAlign w:val="center"/>
                </w:tcPr>
                <w:p>
                  <w:pPr>
                    <w:widowControl/>
                    <w:jc w:val="center"/>
                    <w:rPr>
                      <w:rFonts w:ascii="宋体" w:hAnsi="宋体" w:cs="宋体"/>
                      <w:kern w:val="0"/>
                      <w:sz w:val="24"/>
                    </w:rPr>
                  </w:pPr>
                  <w:r>
                    <w:rPr>
                      <w:rFonts w:hint="eastAsia" w:ascii="宋体" w:hAnsi="宋体" w:cs="宋体"/>
                      <w:kern w:val="0"/>
                      <w:sz w:val="24"/>
                    </w:rPr>
                    <w:t>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tblCellSpacing w:w="0" w:type="dxa"/>
                <w:jc w:val="center"/>
              </w:trPr>
              <w:tc>
                <w:tcPr>
                  <w:tcW w:w="1129" w:type="dxa"/>
                  <w:vMerge w:val="continue"/>
                  <w:noWrap w:val="0"/>
                  <w:vAlign w:val="center"/>
                </w:tcPr>
                <w:p>
                  <w:pPr>
                    <w:widowControl/>
                    <w:jc w:val="left"/>
                    <w:rPr>
                      <w:rFonts w:ascii="宋体" w:hAnsi="宋体" w:cs="宋体"/>
                      <w:kern w:val="0"/>
                      <w:sz w:val="24"/>
                    </w:rPr>
                  </w:pPr>
                </w:p>
              </w:tc>
              <w:tc>
                <w:tcPr>
                  <w:tcW w:w="1313" w:type="dxa"/>
                  <w:noWrap w:val="0"/>
                  <w:vAlign w:val="center"/>
                </w:tcPr>
                <w:p>
                  <w:pPr>
                    <w:widowControl/>
                    <w:jc w:val="center"/>
                    <w:rPr>
                      <w:rFonts w:ascii="宋体" w:hAnsi="宋体" w:cs="宋体"/>
                      <w:kern w:val="0"/>
                      <w:sz w:val="24"/>
                    </w:rPr>
                  </w:pPr>
                  <w:r>
                    <w:rPr>
                      <w:rFonts w:hint="eastAsia" w:ascii="宋体" w:hAnsi="宋体" w:cs="宋体"/>
                      <w:kern w:val="0"/>
                      <w:sz w:val="24"/>
                    </w:rPr>
                    <w:t>常用流量</w:t>
                  </w:r>
                </w:p>
                <w:p>
                  <w:pPr>
                    <w:widowControl/>
                    <w:jc w:val="center"/>
                    <w:rPr>
                      <w:rFonts w:ascii="宋体" w:hAnsi="宋体" w:cs="宋体"/>
                      <w:kern w:val="0"/>
                      <w:sz w:val="24"/>
                    </w:rPr>
                  </w:pPr>
                  <w:r>
                    <w:rPr>
                      <w:rFonts w:hint="eastAsia" w:ascii="宋体" w:hAnsi="宋体" w:cs="宋体"/>
                      <w:kern w:val="0"/>
                      <w:sz w:val="24"/>
                    </w:rPr>
                    <w:t>Q3</w:t>
                  </w:r>
                </w:p>
                <w:p>
                  <w:pPr>
                    <w:widowControl/>
                    <w:jc w:val="center"/>
                    <w:rPr>
                      <w:rFonts w:ascii="宋体" w:hAnsi="宋体" w:cs="宋体"/>
                      <w:kern w:val="0"/>
                      <w:sz w:val="24"/>
                    </w:rPr>
                  </w:pPr>
                  <w:r>
                    <w:rPr>
                      <w:rFonts w:hint="eastAsia" w:ascii="宋体" w:hAnsi="宋体" w:cs="宋体"/>
                      <w:kern w:val="0"/>
                      <w:sz w:val="24"/>
                    </w:rPr>
                    <w:t>m3/h</w:t>
                  </w:r>
                </w:p>
              </w:tc>
              <w:tc>
                <w:tcPr>
                  <w:tcW w:w="1055" w:type="dxa"/>
                  <w:noWrap w:val="0"/>
                  <w:vAlign w:val="center"/>
                </w:tcPr>
                <w:p>
                  <w:pPr>
                    <w:widowControl/>
                    <w:jc w:val="center"/>
                    <w:rPr>
                      <w:rFonts w:ascii="宋体" w:hAnsi="宋体" w:cs="宋体"/>
                      <w:kern w:val="0"/>
                      <w:sz w:val="24"/>
                    </w:rPr>
                  </w:pPr>
                  <w:r>
                    <w:rPr>
                      <w:rFonts w:hint="eastAsia" w:ascii="宋体" w:hAnsi="宋体" w:cs="宋体"/>
                      <w:kern w:val="0"/>
                      <w:sz w:val="24"/>
                    </w:rPr>
                    <w:t>Q3/Q1</w:t>
                  </w:r>
                </w:p>
              </w:tc>
              <w:tc>
                <w:tcPr>
                  <w:tcW w:w="1027" w:type="dxa"/>
                  <w:noWrap w:val="0"/>
                  <w:vAlign w:val="center"/>
                </w:tcPr>
                <w:p>
                  <w:pPr>
                    <w:widowControl/>
                    <w:jc w:val="center"/>
                    <w:rPr>
                      <w:rFonts w:ascii="宋体" w:hAnsi="宋体" w:cs="宋体"/>
                      <w:kern w:val="0"/>
                      <w:sz w:val="24"/>
                    </w:rPr>
                  </w:pPr>
                  <w:r>
                    <w:rPr>
                      <w:rFonts w:hint="eastAsia" w:ascii="宋体" w:hAnsi="宋体" w:cs="宋体"/>
                      <w:kern w:val="0"/>
                      <w:sz w:val="24"/>
                    </w:rPr>
                    <w:t>Q2/Q1</w:t>
                  </w:r>
                </w:p>
              </w:tc>
              <w:tc>
                <w:tcPr>
                  <w:tcW w:w="795" w:type="dxa"/>
                  <w:noWrap w:val="0"/>
                  <w:vAlign w:val="center"/>
                </w:tcPr>
                <w:p>
                  <w:pPr>
                    <w:widowControl/>
                    <w:jc w:val="center"/>
                    <w:rPr>
                      <w:rFonts w:ascii="宋体" w:hAnsi="宋体" w:cs="宋体"/>
                      <w:kern w:val="0"/>
                      <w:sz w:val="24"/>
                    </w:rPr>
                  </w:pPr>
                  <w:r>
                    <w:rPr>
                      <w:rFonts w:hint="eastAsia" w:ascii="宋体" w:hAnsi="宋体" w:cs="宋体"/>
                      <w:kern w:val="0"/>
                      <w:sz w:val="24"/>
                    </w:rPr>
                    <w:t>始动流量</w:t>
                  </w:r>
                </w:p>
                <w:p>
                  <w:pPr>
                    <w:widowControl/>
                    <w:jc w:val="center"/>
                    <w:rPr>
                      <w:rFonts w:ascii="宋体" w:hAnsi="宋体" w:cs="宋体"/>
                      <w:kern w:val="0"/>
                      <w:sz w:val="24"/>
                    </w:rPr>
                  </w:pPr>
                  <w:r>
                    <w:rPr>
                      <w:rFonts w:hint="eastAsia" w:ascii="宋体" w:hAnsi="宋体" w:cs="宋体"/>
                      <w:kern w:val="0"/>
                      <w:sz w:val="24"/>
                    </w:rPr>
                    <w:t>Qs</w:t>
                  </w:r>
                </w:p>
                <w:p>
                  <w:pPr>
                    <w:widowControl/>
                    <w:jc w:val="center"/>
                    <w:rPr>
                      <w:rFonts w:ascii="宋体" w:hAnsi="宋体" w:cs="宋体"/>
                      <w:kern w:val="0"/>
                      <w:sz w:val="24"/>
                    </w:rPr>
                  </w:pPr>
                  <w:r>
                    <w:rPr>
                      <w:rFonts w:hint="eastAsia" w:ascii="宋体" w:hAnsi="宋体" w:cs="宋体"/>
                      <w:kern w:val="0"/>
                      <w:sz w:val="24"/>
                    </w:rPr>
                    <w:t>m3/h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20</w:t>
                  </w:r>
                </w:p>
              </w:tc>
              <w:tc>
                <w:tcPr>
                  <w:tcW w:w="1313" w:type="dxa"/>
                  <w:noWrap w:val="0"/>
                  <w:vAlign w:val="center"/>
                </w:tcPr>
                <w:p>
                  <w:pPr>
                    <w:widowControl/>
                    <w:jc w:val="center"/>
                    <w:rPr>
                      <w:rFonts w:ascii="宋体" w:hAnsi="宋体" w:cs="宋体"/>
                      <w:kern w:val="0"/>
                      <w:sz w:val="24"/>
                    </w:rPr>
                  </w:pPr>
                  <w:r>
                    <w:rPr>
                      <w:rFonts w:hint="eastAsia" w:ascii="宋体" w:hAnsi="宋体" w:cs="宋体"/>
                      <w:kern w:val="0"/>
                      <w:sz w:val="24"/>
                    </w:rPr>
                    <w:t>2.5</w:t>
                  </w:r>
                </w:p>
              </w:tc>
              <w:tc>
                <w:tcPr>
                  <w:tcW w:w="1055" w:type="dxa"/>
                  <w:noWrap w:val="0"/>
                  <w:vAlign w:val="center"/>
                </w:tcPr>
                <w:p>
                  <w:pPr>
                    <w:widowControl/>
                    <w:jc w:val="center"/>
                    <w:rPr>
                      <w:rFonts w:ascii="宋体" w:hAnsi="宋体" w:cs="宋体"/>
                      <w:kern w:val="0"/>
                      <w:sz w:val="24"/>
                    </w:rPr>
                  </w:pPr>
                  <w:r>
                    <w:rPr>
                      <w:rFonts w:hint="eastAsia" w:ascii="宋体" w:hAnsi="宋体" w:cs="宋体"/>
                      <w:kern w:val="0"/>
                      <w:sz w:val="24"/>
                    </w:rPr>
                    <w:t>≧160</w:t>
                  </w:r>
                </w:p>
              </w:tc>
              <w:tc>
                <w:tcPr>
                  <w:tcW w:w="1027" w:type="dxa"/>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795" w:type="dxa"/>
                  <w:noWrap w:val="0"/>
                  <w:vAlign w:val="center"/>
                </w:tcPr>
                <w:p>
                  <w:pPr>
                    <w:widowControl/>
                    <w:jc w:val="center"/>
                    <w:rPr>
                      <w:rFonts w:ascii="宋体" w:hAnsi="宋体" w:cs="宋体"/>
                      <w:kern w:val="0"/>
                      <w:sz w:val="24"/>
                    </w:rPr>
                  </w:pPr>
                  <w:r>
                    <w:rPr>
                      <w:rFonts w:hint="eastAsia" w:ascii="宋体" w:hAnsi="宋体" w:cs="宋体"/>
                      <w:kern w:val="0"/>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25</w:t>
                  </w:r>
                </w:p>
              </w:tc>
              <w:tc>
                <w:tcPr>
                  <w:tcW w:w="1313" w:type="dxa"/>
                  <w:noWrap w:val="0"/>
                  <w:vAlign w:val="center"/>
                </w:tcPr>
                <w:p>
                  <w:pPr>
                    <w:widowControl/>
                    <w:jc w:val="center"/>
                    <w:rPr>
                      <w:rFonts w:ascii="宋体" w:hAnsi="宋体" w:cs="宋体"/>
                      <w:kern w:val="0"/>
                      <w:sz w:val="24"/>
                    </w:rPr>
                  </w:pPr>
                  <w:r>
                    <w:rPr>
                      <w:rFonts w:hint="eastAsia" w:ascii="宋体" w:hAnsi="宋体" w:cs="宋体"/>
                      <w:kern w:val="0"/>
                      <w:sz w:val="24"/>
                    </w:rPr>
                    <w:t>4.0</w:t>
                  </w:r>
                </w:p>
              </w:tc>
              <w:tc>
                <w:tcPr>
                  <w:tcW w:w="1055" w:type="dxa"/>
                  <w:noWrap w:val="0"/>
                  <w:vAlign w:val="center"/>
                </w:tcPr>
                <w:p>
                  <w:pPr>
                    <w:widowControl/>
                    <w:jc w:val="center"/>
                    <w:rPr>
                      <w:rFonts w:ascii="宋体" w:hAnsi="宋体" w:cs="宋体"/>
                      <w:kern w:val="0"/>
                      <w:sz w:val="24"/>
                    </w:rPr>
                  </w:pPr>
                  <w:r>
                    <w:rPr>
                      <w:rFonts w:hint="eastAsia" w:ascii="宋体" w:hAnsi="宋体" w:cs="宋体"/>
                      <w:kern w:val="0"/>
                      <w:sz w:val="24"/>
                    </w:rPr>
                    <w:t>≧160</w:t>
                  </w:r>
                </w:p>
              </w:tc>
              <w:tc>
                <w:tcPr>
                  <w:tcW w:w="1027" w:type="dxa"/>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795" w:type="dxa"/>
                  <w:noWrap w:val="0"/>
                  <w:vAlign w:val="center"/>
                </w:tcPr>
                <w:p>
                  <w:pPr>
                    <w:widowControl/>
                    <w:jc w:val="center"/>
                    <w:rPr>
                      <w:rFonts w:ascii="宋体" w:hAnsi="宋体" w:cs="宋体"/>
                      <w:kern w:val="0"/>
                      <w:sz w:val="24"/>
                    </w:rPr>
                  </w:pPr>
                  <w:r>
                    <w:rPr>
                      <w:rFonts w:hint="eastAsia" w:ascii="宋体" w:hAnsi="宋体" w:cs="宋体"/>
                      <w:kern w:val="0"/>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50</w:t>
                  </w:r>
                </w:p>
              </w:tc>
              <w:tc>
                <w:tcPr>
                  <w:tcW w:w="1313" w:type="dxa"/>
                  <w:noWrap w:val="0"/>
                  <w:vAlign w:val="center"/>
                </w:tcPr>
                <w:p>
                  <w:pPr>
                    <w:widowControl/>
                    <w:jc w:val="center"/>
                    <w:rPr>
                      <w:rFonts w:ascii="宋体" w:hAnsi="宋体" w:cs="宋体"/>
                      <w:kern w:val="0"/>
                      <w:sz w:val="24"/>
                    </w:rPr>
                  </w:pPr>
                  <w:r>
                    <w:rPr>
                      <w:rFonts w:hint="eastAsia" w:ascii="宋体" w:hAnsi="宋体" w:cs="宋体"/>
                      <w:kern w:val="0"/>
                      <w:sz w:val="24"/>
                    </w:rPr>
                    <w:t>40</w:t>
                  </w:r>
                </w:p>
              </w:tc>
              <w:tc>
                <w:tcPr>
                  <w:tcW w:w="1055" w:type="dxa"/>
                  <w:noWrap w:val="0"/>
                  <w:vAlign w:val="center"/>
                </w:tcPr>
                <w:p>
                  <w:pPr>
                    <w:widowControl/>
                    <w:jc w:val="center"/>
                    <w:rPr>
                      <w:rFonts w:ascii="宋体" w:hAnsi="宋体" w:cs="宋体"/>
                      <w:kern w:val="0"/>
                      <w:sz w:val="24"/>
                    </w:rPr>
                  </w:pPr>
                  <w:r>
                    <w:rPr>
                      <w:rFonts w:hint="eastAsia" w:ascii="宋体" w:hAnsi="宋体" w:cs="宋体"/>
                      <w:kern w:val="0"/>
                      <w:sz w:val="24"/>
                    </w:rPr>
                    <w:t>≧160</w:t>
                  </w:r>
                </w:p>
              </w:tc>
              <w:tc>
                <w:tcPr>
                  <w:tcW w:w="1027" w:type="dxa"/>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795" w:type="dxa"/>
                  <w:noWrap w:val="0"/>
                  <w:vAlign w:val="center"/>
                </w:tcPr>
                <w:p>
                  <w:pPr>
                    <w:widowControl/>
                    <w:jc w:val="center"/>
                    <w:rPr>
                      <w:rFonts w:ascii="宋体" w:hAnsi="宋体" w:cs="宋体"/>
                      <w:kern w:val="0"/>
                      <w:sz w:val="24"/>
                    </w:rPr>
                  </w:pPr>
                  <w:r>
                    <w:rPr>
                      <w:rFonts w:hint="eastAsia" w:ascii="宋体" w:hAnsi="宋体" w:cs="宋体"/>
                      <w:kern w:val="0"/>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80</w:t>
                  </w:r>
                </w:p>
              </w:tc>
              <w:tc>
                <w:tcPr>
                  <w:tcW w:w="1313" w:type="dxa"/>
                  <w:noWrap w:val="0"/>
                  <w:vAlign w:val="center"/>
                </w:tcPr>
                <w:p>
                  <w:pPr>
                    <w:widowControl/>
                    <w:jc w:val="center"/>
                    <w:rPr>
                      <w:rFonts w:ascii="宋体" w:hAnsi="宋体" w:cs="宋体"/>
                      <w:kern w:val="0"/>
                      <w:sz w:val="24"/>
                    </w:rPr>
                  </w:pPr>
                  <w:r>
                    <w:rPr>
                      <w:rFonts w:hint="eastAsia" w:ascii="宋体" w:hAnsi="宋体" w:cs="宋体"/>
                      <w:kern w:val="0"/>
                      <w:sz w:val="24"/>
                    </w:rPr>
                    <w:t>63</w:t>
                  </w:r>
                </w:p>
              </w:tc>
              <w:tc>
                <w:tcPr>
                  <w:tcW w:w="1055" w:type="dxa"/>
                  <w:noWrap w:val="0"/>
                  <w:vAlign w:val="center"/>
                </w:tcPr>
                <w:p>
                  <w:pPr>
                    <w:widowControl/>
                    <w:jc w:val="center"/>
                    <w:rPr>
                      <w:rFonts w:ascii="宋体" w:hAnsi="宋体" w:cs="宋体"/>
                      <w:kern w:val="0"/>
                      <w:sz w:val="24"/>
                    </w:rPr>
                  </w:pPr>
                  <w:r>
                    <w:rPr>
                      <w:rFonts w:hint="eastAsia" w:ascii="宋体" w:hAnsi="宋体" w:cs="宋体"/>
                      <w:kern w:val="0"/>
                      <w:sz w:val="24"/>
                    </w:rPr>
                    <w:t>≧200</w:t>
                  </w:r>
                </w:p>
              </w:tc>
              <w:tc>
                <w:tcPr>
                  <w:tcW w:w="1027" w:type="dxa"/>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795" w:type="dxa"/>
                  <w:noWrap w:val="0"/>
                  <w:vAlign w:val="center"/>
                </w:tcPr>
                <w:p>
                  <w:pPr>
                    <w:widowControl/>
                    <w:jc w:val="center"/>
                    <w:rPr>
                      <w:rFonts w:ascii="宋体" w:hAnsi="宋体" w:cs="宋体"/>
                      <w:kern w:val="0"/>
                      <w:sz w:val="24"/>
                    </w:rPr>
                  </w:pPr>
                  <w:r>
                    <w:rPr>
                      <w:rFonts w:hint="eastAsia" w:ascii="宋体" w:hAnsi="宋体" w:cs="宋体"/>
                      <w:kern w:val="0"/>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100</w:t>
                  </w:r>
                </w:p>
              </w:tc>
              <w:tc>
                <w:tcPr>
                  <w:tcW w:w="1313" w:type="dxa"/>
                  <w:noWrap w:val="0"/>
                  <w:vAlign w:val="center"/>
                </w:tcPr>
                <w:p>
                  <w:pPr>
                    <w:widowControl/>
                    <w:jc w:val="center"/>
                    <w:rPr>
                      <w:rFonts w:ascii="宋体" w:hAnsi="宋体" w:cs="宋体"/>
                      <w:kern w:val="0"/>
                      <w:sz w:val="24"/>
                    </w:rPr>
                  </w:pPr>
                  <w:r>
                    <w:rPr>
                      <w:rFonts w:hint="eastAsia" w:ascii="宋体" w:hAnsi="宋体" w:cs="宋体"/>
                      <w:kern w:val="0"/>
                      <w:sz w:val="24"/>
                    </w:rPr>
                    <w:t>100</w:t>
                  </w:r>
                </w:p>
              </w:tc>
              <w:tc>
                <w:tcPr>
                  <w:tcW w:w="1055" w:type="dxa"/>
                  <w:noWrap w:val="0"/>
                  <w:vAlign w:val="center"/>
                </w:tcPr>
                <w:p>
                  <w:pPr>
                    <w:widowControl/>
                    <w:jc w:val="center"/>
                    <w:rPr>
                      <w:rFonts w:ascii="宋体" w:hAnsi="宋体" w:cs="宋体"/>
                      <w:kern w:val="0"/>
                      <w:sz w:val="24"/>
                    </w:rPr>
                  </w:pPr>
                  <w:r>
                    <w:rPr>
                      <w:rFonts w:hint="eastAsia" w:ascii="宋体" w:hAnsi="宋体" w:cs="宋体"/>
                      <w:kern w:val="0"/>
                      <w:sz w:val="24"/>
                    </w:rPr>
                    <w:t>≧200</w:t>
                  </w:r>
                </w:p>
              </w:tc>
              <w:tc>
                <w:tcPr>
                  <w:tcW w:w="1027" w:type="dxa"/>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795" w:type="dxa"/>
                  <w:noWrap w:val="0"/>
                  <w:vAlign w:val="center"/>
                </w:tcPr>
                <w:p>
                  <w:pPr>
                    <w:widowControl/>
                    <w:jc w:val="center"/>
                    <w:rPr>
                      <w:rFonts w:ascii="宋体" w:hAnsi="宋体" w:cs="宋体"/>
                      <w:kern w:val="0"/>
                      <w:sz w:val="24"/>
                    </w:rPr>
                  </w:pPr>
                  <w:r>
                    <w:rPr>
                      <w:rFonts w:hint="eastAsia" w:ascii="宋体" w:hAnsi="宋体" w:cs="宋体"/>
                      <w:kern w:val="0"/>
                      <w:sz w:val="24"/>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150</w:t>
                  </w:r>
                </w:p>
              </w:tc>
              <w:tc>
                <w:tcPr>
                  <w:tcW w:w="1313" w:type="dxa"/>
                  <w:noWrap w:val="0"/>
                  <w:vAlign w:val="center"/>
                </w:tcPr>
                <w:p>
                  <w:pPr>
                    <w:widowControl/>
                    <w:jc w:val="center"/>
                    <w:rPr>
                      <w:rFonts w:ascii="宋体" w:hAnsi="宋体" w:cs="宋体"/>
                      <w:kern w:val="0"/>
                      <w:sz w:val="24"/>
                    </w:rPr>
                  </w:pPr>
                  <w:r>
                    <w:rPr>
                      <w:rFonts w:hint="eastAsia" w:ascii="宋体" w:hAnsi="宋体" w:cs="宋体"/>
                      <w:kern w:val="0"/>
                      <w:sz w:val="24"/>
                    </w:rPr>
                    <w:t>250</w:t>
                  </w:r>
                </w:p>
              </w:tc>
              <w:tc>
                <w:tcPr>
                  <w:tcW w:w="1055" w:type="dxa"/>
                  <w:noWrap w:val="0"/>
                  <w:vAlign w:val="center"/>
                </w:tcPr>
                <w:p>
                  <w:pPr>
                    <w:widowControl/>
                    <w:jc w:val="center"/>
                    <w:rPr>
                      <w:rFonts w:ascii="宋体" w:hAnsi="宋体" w:cs="宋体"/>
                      <w:kern w:val="0"/>
                      <w:sz w:val="24"/>
                    </w:rPr>
                  </w:pPr>
                  <w:r>
                    <w:rPr>
                      <w:rFonts w:hint="eastAsia" w:ascii="宋体" w:hAnsi="宋体" w:cs="宋体"/>
                      <w:kern w:val="0"/>
                      <w:sz w:val="24"/>
                    </w:rPr>
                    <w:t>≧200</w:t>
                  </w:r>
                </w:p>
              </w:tc>
              <w:tc>
                <w:tcPr>
                  <w:tcW w:w="1027" w:type="dxa"/>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795" w:type="dxa"/>
                  <w:noWrap w:val="0"/>
                  <w:vAlign w:val="center"/>
                </w:tcPr>
                <w:p>
                  <w:pPr>
                    <w:widowControl/>
                    <w:jc w:val="center"/>
                    <w:rPr>
                      <w:rFonts w:ascii="宋体" w:hAnsi="宋体" w:cs="宋体"/>
                      <w:kern w:val="0"/>
                      <w:sz w:val="24"/>
                    </w:rPr>
                  </w:pPr>
                  <w:r>
                    <w:rPr>
                      <w:rFonts w:hint="eastAsia" w:ascii="宋体" w:hAnsi="宋体" w:cs="宋体"/>
                      <w:kern w:val="0"/>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jc w:val="center"/>
              </w:trPr>
              <w:tc>
                <w:tcPr>
                  <w:tcW w:w="1129" w:type="dxa"/>
                  <w:noWrap w:val="0"/>
                  <w:vAlign w:val="center"/>
                </w:tcPr>
                <w:p>
                  <w:pPr>
                    <w:widowControl/>
                    <w:jc w:val="center"/>
                    <w:rPr>
                      <w:rFonts w:ascii="宋体" w:hAnsi="宋体" w:cs="宋体"/>
                      <w:kern w:val="0"/>
                      <w:sz w:val="24"/>
                    </w:rPr>
                  </w:pPr>
                  <w:r>
                    <w:rPr>
                      <w:rFonts w:hint="eastAsia" w:ascii="宋体" w:hAnsi="宋体" w:cs="宋体"/>
                      <w:kern w:val="0"/>
                      <w:sz w:val="24"/>
                    </w:rPr>
                    <w:t>200</w:t>
                  </w:r>
                </w:p>
              </w:tc>
              <w:tc>
                <w:tcPr>
                  <w:tcW w:w="1313" w:type="dxa"/>
                  <w:noWrap w:val="0"/>
                  <w:vAlign w:val="center"/>
                </w:tcPr>
                <w:p>
                  <w:pPr>
                    <w:widowControl/>
                    <w:jc w:val="center"/>
                    <w:rPr>
                      <w:rFonts w:ascii="宋体" w:hAnsi="宋体" w:cs="宋体"/>
                      <w:kern w:val="0"/>
                      <w:sz w:val="24"/>
                    </w:rPr>
                  </w:pPr>
                  <w:r>
                    <w:rPr>
                      <w:rFonts w:hint="eastAsia" w:ascii="宋体" w:hAnsi="宋体" w:cs="宋体"/>
                      <w:kern w:val="0"/>
                      <w:sz w:val="24"/>
                    </w:rPr>
                    <w:t>400</w:t>
                  </w:r>
                </w:p>
              </w:tc>
              <w:tc>
                <w:tcPr>
                  <w:tcW w:w="1055" w:type="dxa"/>
                  <w:noWrap w:val="0"/>
                  <w:vAlign w:val="center"/>
                </w:tcPr>
                <w:p>
                  <w:pPr>
                    <w:widowControl/>
                    <w:jc w:val="center"/>
                    <w:rPr>
                      <w:rFonts w:ascii="宋体" w:hAnsi="宋体" w:cs="宋体"/>
                      <w:kern w:val="0"/>
                      <w:sz w:val="24"/>
                    </w:rPr>
                  </w:pPr>
                  <w:r>
                    <w:rPr>
                      <w:rFonts w:hint="eastAsia" w:ascii="宋体" w:hAnsi="宋体" w:cs="宋体"/>
                      <w:kern w:val="0"/>
                      <w:sz w:val="24"/>
                    </w:rPr>
                    <w:t>≧200</w:t>
                  </w:r>
                </w:p>
              </w:tc>
              <w:tc>
                <w:tcPr>
                  <w:tcW w:w="1027" w:type="dxa"/>
                  <w:noWrap w:val="0"/>
                  <w:vAlign w:val="center"/>
                </w:tcPr>
                <w:p>
                  <w:pPr>
                    <w:widowControl/>
                    <w:jc w:val="center"/>
                    <w:rPr>
                      <w:rFonts w:ascii="宋体" w:hAnsi="宋体" w:cs="宋体"/>
                      <w:kern w:val="0"/>
                      <w:sz w:val="24"/>
                    </w:rPr>
                  </w:pPr>
                  <w:r>
                    <w:rPr>
                      <w:rFonts w:hint="eastAsia" w:ascii="宋体" w:hAnsi="宋体" w:cs="宋体"/>
                      <w:kern w:val="0"/>
                      <w:sz w:val="24"/>
                    </w:rPr>
                    <w:t>1.6</w:t>
                  </w:r>
                </w:p>
              </w:tc>
              <w:tc>
                <w:tcPr>
                  <w:tcW w:w="795" w:type="dxa"/>
                  <w:noWrap w:val="0"/>
                  <w:vAlign w:val="center"/>
                </w:tcPr>
                <w:p>
                  <w:pPr>
                    <w:widowControl/>
                    <w:jc w:val="center"/>
                    <w:rPr>
                      <w:rFonts w:ascii="宋体" w:hAnsi="宋体" w:cs="宋体"/>
                      <w:kern w:val="0"/>
                      <w:sz w:val="24"/>
                    </w:rPr>
                  </w:pPr>
                  <w:r>
                    <w:rPr>
                      <w:rFonts w:hint="eastAsia" w:ascii="宋体" w:hAnsi="宋体" w:cs="宋体"/>
                      <w:kern w:val="0"/>
                      <w:sz w:val="24"/>
                    </w:rPr>
                    <w:t>≤0.35</w:t>
                  </w:r>
                </w:p>
              </w:tc>
            </w:tr>
          </w:tbl>
          <w:p>
            <w:pPr>
              <w:ind w:firstLine="480"/>
              <w:rPr>
                <w:rFonts w:ascii="宋体" w:hAnsi="宋体" w:cs="宋体"/>
                <w:sz w:val="24"/>
              </w:rPr>
            </w:pPr>
          </w:p>
          <w:p>
            <w:pPr>
              <w:rPr>
                <w:rFonts w:ascii="宋体" w:hAnsi="宋体" w:cs="宋体"/>
                <w:spacing w:val="-18"/>
                <w:sz w:val="24"/>
              </w:rPr>
            </w:pPr>
            <w:r>
              <w:rPr>
                <w:rFonts w:hint="eastAsia" w:ascii="宋体" w:hAnsi="宋体" w:cs="宋体"/>
                <w:spacing w:val="-18"/>
                <w:sz w:val="24"/>
              </w:rPr>
              <w:t>2</w:t>
            </w:r>
            <w:r>
              <w:rPr>
                <w:rFonts w:ascii="宋体" w:hAnsi="宋体" w:cs="宋体"/>
                <w:spacing w:val="-18"/>
                <w:sz w:val="24"/>
              </w:rPr>
              <w:t>.</w:t>
            </w:r>
            <w:r>
              <w:rPr>
                <w:rFonts w:hint="eastAsia" w:ascii="宋体" w:hAnsi="宋体" w:cs="宋体"/>
                <w:spacing w:val="-18"/>
                <w:sz w:val="24"/>
              </w:rPr>
              <w:t>水压等级：MAP10；</w:t>
            </w:r>
          </w:p>
          <w:p>
            <w:pPr>
              <w:ind w:firstLine="480"/>
              <w:rPr>
                <w:rFonts w:ascii="宋体" w:hAnsi="宋体" w:cs="宋体"/>
                <w:sz w:val="24"/>
              </w:rPr>
            </w:pPr>
            <w:r>
              <w:rPr>
                <w:rFonts w:hint="eastAsia" w:ascii="宋体" w:hAnsi="宋体" w:cs="宋体"/>
                <w:sz w:val="24"/>
              </w:rPr>
              <w:t>上游流场敏感度等级：U0；</w:t>
            </w:r>
          </w:p>
          <w:p>
            <w:pPr>
              <w:ind w:firstLine="480"/>
              <w:rPr>
                <w:rFonts w:ascii="宋体" w:hAnsi="宋体" w:cs="宋体"/>
                <w:sz w:val="24"/>
              </w:rPr>
            </w:pPr>
            <w:r>
              <w:rPr>
                <w:rFonts w:hint="eastAsia" w:ascii="宋体" w:hAnsi="宋体" w:cs="宋体"/>
                <w:sz w:val="24"/>
              </w:rPr>
              <w:t>下游流场敏感度等级：D0；</w:t>
            </w:r>
          </w:p>
          <w:p>
            <w:pPr>
              <w:ind w:firstLine="480"/>
              <w:rPr>
                <w:rFonts w:ascii="宋体" w:hAnsi="宋体" w:cs="宋体"/>
                <w:sz w:val="24"/>
              </w:rPr>
            </w:pPr>
            <w:r>
              <w:rPr>
                <w:rFonts w:hint="eastAsia" w:ascii="宋体" w:hAnsi="宋体" w:cs="宋体"/>
                <w:sz w:val="24"/>
              </w:rPr>
              <w:t>最大允许误差:</w:t>
            </w:r>
          </w:p>
          <w:p>
            <w:pPr>
              <w:ind w:firstLine="480"/>
              <w:rPr>
                <w:rFonts w:ascii="宋体" w:hAnsi="宋体" w:cs="宋体"/>
                <w:sz w:val="24"/>
              </w:rPr>
            </w:pPr>
            <w:r>
              <w:rPr>
                <w:rFonts w:hint="eastAsia" w:ascii="宋体" w:hAnsi="宋体" w:cs="宋体"/>
                <w:sz w:val="24"/>
              </w:rPr>
              <w:t>a）低区（Q1≤Q＜Q2）最大允许误差为±5%；</w:t>
            </w:r>
          </w:p>
          <w:p>
            <w:pPr>
              <w:ind w:firstLine="480"/>
              <w:rPr>
                <w:rFonts w:ascii="宋体" w:hAnsi="宋体" w:cs="宋体"/>
                <w:sz w:val="24"/>
              </w:rPr>
            </w:pPr>
            <w:r>
              <w:rPr>
                <w:rFonts w:hint="eastAsia" w:ascii="宋体" w:hAnsi="宋体" w:cs="宋体"/>
                <w:sz w:val="24"/>
              </w:rPr>
              <w:t>b）高区（Q2≤Q≤Q4）最大允许误差为±2%；</w:t>
            </w:r>
          </w:p>
          <w:p>
            <w:pPr>
              <w:rPr>
                <w:rFonts w:ascii="Arial" w:hAnsi="新宋体" w:eastAsia="新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center"/>
          </w:tcPr>
          <w:p>
            <w:pPr>
              <w:spacing w:line="360" w:lineRule="auto"/>
              <w:jc w:val="center"/>
              <w:rPr>
                <w:rFonts w:hint="eastAsia" w:ascii="Arial" w:hAnsi="新宋体" w:eastAsia="新宋体" w:cs="Arial"/>
                <w:sz w:val="24"/>
                <w:lang w:eastAsia="zh-CN"/>
              </w:rPr>
            </w:pPr>
            <w:r>
              <w:rPr>
                <w:rFonts w:hint="eastAsia" w:ascii="Arial" w:hAnsi="新宋体" w:eastAsia="新宋体" w:cs="Arial"/>
                <w:sz w:val="24"/>
                <w:lang w:val="en-US" w:eastAsia="zh-CN"/>
              </w:rPr>
              <w:t>2</w:t>
            </w:r>
          </w:p>
        </w:tc>
        <w:tc>
          <w:tcPr>
            <w:tcW w:w="2420" w:type="dxa"/>
            <w:noWrap w:val="0"/>
            <w:vAlign w:val="center"/>
          </w:tcPr>
          <w:p>
            <w:pPr>
              <w:spacing w:line="360" w:lineRule="auto"/>
              <w:jc w:val="center"/>
              <w:rPr>
                <w:rFonts w:ascii="Arial" w:hAnsi="新宋体" w:eastAsia="新宋体" w:cs="Arial"/>
                <w:sz w:val="24"/>
              </w:rPr>
            </w:pPr>
            <w:r>
              <w:rPr>
                <w:rFonts w:hint="eastAsia" w:ascii="Arial" w:hAnsi="新宋体" w:eastAsia="新宋体" w:cs="Arial"/>
                <w:kern w:val="0"/>
                <w:sz w:val="24"/>
              </w:rPr>
              <w:t>新建水表井及井盖</w:t>
            </w:r>
          </w:p>
        </w:tc>
        <w:tc>
          <w:tcPr>
            <w:tcW w:w="6267" w:type="dxa"/>
            <w:noWrap w:val="0"/>
            <w:vAlign w:val="top"/>
          </w:tcPr>
          <w:p>
            <w:pPr>
              <w:rPr>
                <w:rFonts w:ascii="Arial" w:hAnsi="Arial" w:eastAsia="新宋体" w:cs="Arial"/>
                <w:b/>
                <w:sz w:val="24"/>
              </w:rPr>
            </w:pPr>
            <w:r>
              <w:rPr>
                <w:rFonts w:hint="eastAsia" w:ascii="Arial" w:hAnsi="新宋体" w:eastAsia="新宋体" w:cs="Arial"/>
                <w:sz w:val="24"/>
              </w:rPr>
              <w:t>投标人须根据所投水表品牌的具体尺寸、所投</w:t>
            </w:r>
            <w:r>
              <w:rPr>
                <w:rFonts w:hint="eastAsia" w:ascii="Arial" w:hAnsi="新宋体" w:eastAsia="新宋体" w:cs="Arial"/>
                <w:kern w:val="0"/>
                <w:sz w:val="24"/>
              </w:rPr>
              <w:t>闸</w:t>
            </w:r>
            <w:r>
              <w:rPr>
                <w:rFonts w:hint="eastAsia" w:ascii="Arial" w:hAnsi="新宋体" w:eastAsia="新宋体" w:cs="Arial"/>
                <w:sz w:val="24"/>
              </w:rPr>
              <w:t>阀的具体尺寸以及现场安装空间综合确定表井及井盖尺寸，井盖按现场情况选用承重（24T）或非承重型，井盖材质选用铸铁或复合材料。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新宋体" w:eastAsia="新宋体" w:cs="Arial"/>
                <w:sz w:val="24"/>
                <w:lang w:eastAsia="zh-CN"/>
              </w:rPr>
            </w:pPr>
            <w:r>
              <w:rPr>
                <w:rFonts w:hint="eastAsia" w:ascii="Arial" w:hAnsi="新宋体" w:eastAsia="新宋体" w:cs="Arial"/>
                <w:sz w:val="24"/>
                <w:lang w:val="en-US" w:eastAsia="zh-CN"/>
              </w:rPr>
              <w:t>3</w:t>
            </w:r>
          </w:p>
        </w:tc>
        <w:tc>
          <w:tcPr>
            <w:tcW w:w="24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Arial" w:hAnsi="新宋体" w:eastAsia="新宋体" w:cs="Arial"/>
                <w:kern w:val="0"/>
                <w:sz w:val="24"/>
              </w:rPr>
            </w:pPr>
            <w:r>
              <w:rPr>
                <w:rFonts w:hint="eastAsia" w:ascii="Arial" w:hAnsi="新宋体" w:eastAsia="新宋体" w:cs="Arial"/>
                <w:kern w:val="0"/>
                <w:sz w:val="24"/>
              </w:rPr>
              <w:t>闸阀</w:t>
            </w:r>
          </w:p>
        </w:tc>
        <w:tc>
          <w:tcPr>
            <w:tcW w:w="6267" w:type="dxa"/>
            <w:tcBorders>
              <w:top w:val="single" w:color="auto" w:sz="4" w:space="0"/>
              <w:left w:val="single" w:color="auto" w:sz="4" w:space="0"/>
              <w:bottom w:val="single" w:color="auto" w:sz="4" w:space="0"/>
              <w:right w:val="single" w:color="auto" w:sz="4" w:space="0"/>
            </w:tcBorders>
            <w:noWrap w:val="0"/>
            <w:vAlign w:val="top"/>
          </w:tcPr>
          <w:p>
            <w:pPr>
              <w:pStyle w:val="9"/>
              <w:spacing w:before="0" w:beforeLines="0" w:after="0" w:afterLines="0"/>
              <w:ind w:firstLine="0" w:firstLineChars="0"/>
              <w:rPr>
                <w:sz w:val="24"/>
                <w:szCs w:val="24"/>
              </w:rPr>
            </w:pPr>
            <w:r>
              <w:rPr>
                <w:rFonts w:hint="eastAsia"/>
                <w:sz w:val="24"/>
                <w:szCs w:val="24"/>
              </w:rPr>
              <w:t>▲1.公称压力：1.0Mpa及以上</w:t>
            </w:r>
          </w:p>
          <w:p>
            <w:pPr>
              <w:pStyle w:val="9"/>
              <w:spacing w:before="0" w:beforeLines="0" w:after="0" w:afterLines="0"/>
              <w:ind w:firstLine="0" w:firstLineChars="0"/>
              <w:rPr>
                <w:sz w:val="24"/>
                <w:szCs w:val="24"/>
              </w:rPr>
            </w:pPr>
            <w:r>
              <w:rPr>
                <w:rFonts w:hint="eastAsia"/>
                <w:sz w:val="24"/>
                <w:szCs w:val="24"/>
              </w:rPr>
              <w:t>2.工作介质：水</w:t>
            </w:r>
          </w:p>
          <w:p>
            <w:pPr>
              <w:pStyle w:val="9"/>
              <w:spacing w:before="0" w:beforeLines="0" w:after="0" w:afterLines="0"/>
              <w:ind w:firstLine="0" w:firstLineChars="0"/>
              <w:rPr>
                <w:sz w:val="24"/>
                <w:szCs w:val="24"/>
              </w:rPr>
            </w:pPr>
            <w:r>
              <w:rPr>
                <w:rFonts w:hint="eastAsia"/>
                <w:sz w:val="24"/>
                <w:szCs w:val="24"/>
              </w:rPr>
              <w:t>3.工作温度≤80℃</w:t>
            </w:r>
          </w:p>
          <w:p>
            <w:pPr>
              <w:pStyle w:val="9"/>
              <w:spacing w:before="0" w:beforeLines="0" w:after="0" w:afterLines="0"/>
              <w:ind w:firstLine="0" w:firstLineChars="0"/>
              <w:rPr>
                <w:sz w:val="24"/>
                <w:szCs w:val="24"/>
              </w:rPr>
            </w:pPr>
            <w:r>
              <w:rPr>
                <w:rFonts w:hint="eastAsia"/>
                <w:sz w:val="24"/>
                <w:szCs w:val="24"/>
              </w:rPr>
              <w:t>4.法兰连接尺寸符号GB/T 17241.6标准</w:t>
            </w:r>
          </w:p>
          <w:p>
            <w:pPr>
              <w:pStyle w:val="9"/>
              <w:spacing w:before="0" w:beforeLines="0" w:after="0" w:afterLines="0"/>
              <w:ind w:firstLine="0" w:firstLineChars="0"/>
              <w:rPr>
                <w:sz w:val="24"/>
                <w:szCs w:val="24"/>
              </w:rPr>
            </w:pPr>
            <w:r>
              <w:rPr>
                <w:rFonts w:hint="eastAsia"/>
                <w:sz w:val="24"/>
                <w:szCs w:val="24"/>
              </w:rPr>
              <w:t>5.阀体、阀盖、采用灰铸铁材质</w:t>
            </w:r>
          </w:p>
          <w:p>
            <w:pPr>
              <w:pStyle w:val="9"/>
              <w:spacing w:before="0" w:beforeLines="0" w:after="0" w:afterLines="0"/>
              <w:ind w:firstLine="0" w:firstLineChars="0"/>
              <w:rPr>
                <w:sz w:val="24"/>
                <w:szCs w:val="24"/>
              </w:rPr>
            </w:pPr>
            <w:r>
              <w:rPr>
                <w:rFonts w:hint="eastAsia"/>
                <w:sz w:val="24"/>
                <w:szCs w:val="24"/>
              </w:rPr>
              <w:t>▲6.阀杆采用不锈钢；密封圈采用铜合金或不锈钢；闸板采用球磨铸铁或灰铸铁</w:t>
            </w:r>
          </w:p>
          <w:p>
            <w:pPr>
              <w:pStyle w:val="9"/>
              <w:spacing w:before="0" w:beforeLines="0" w:after="0" w:afterLines="0"/>
              <w:ind w:firstLine="0" w:firstLineChars="0"/>
              <w:rPr>
                <w:rFonts w:hint="eastAsia"/>
                <w:sz w:val="24"/>
                <w:szCs w:val="24"/>
              </w:rPr>
            </w:pPr>
            <w:r>
              <w:rPr>
                <w:rFonts w:hint="eastAsia"/>
                <w:sz w:val="24"/>
                <w:szCs w:val="24"/>
              </w:rPr>
              <w:t>7.闸阀主体材质为铸铁</w:t>
            </w:r>
          </w:p>
          <w:p>
            <w:pPr>
              <w:pStyle w:val="9"/>
              <w:spacing w:before="0" w:beforeLines="0" w:after="0" w:afterLines="0"/>
              <w:ind w:firstLine="0" w:firstLineChars="0"/>
              <w:rPr>
                <w:rFonts w:ascii="Arial" w:hAnsi="新宋体" w:eastAsia="新宋体" w:cs="Arial"/>
                <w:sz w:val="24"/>
                <w:szCs w:val="24"/>
              </w:rPr>
            </w:pPr>
            <w:r>
              <w:rPr>
                <w:rFonts w:hint="eastAsia"/>
                <w:sz w:val="24"/>
                <w:szCs w:val="24"/>
              </w:rPr>
              <w:t>8.法兰连接铁制。</w:t>
            </w:r>
          </w:p>
        </w:tc>
      </w:tr>
    </w:tbl>
    <w:p>
      <w:pPr>
        <w:rPr>
          <w:rFonts w:hint="eastAsia"/>
          <w:lang w:val="en-US" w:eastAsia="zh-CN"/>
        </w:rPr>
      </w:pPr>
      <w:r>
        <w:rPr>
          <w:rFonts w:hint="eastAsia"/>
          <w:lang w:val="en-US" w:eastAsia="zh-CN"/>
        </w:rPr>
        <w:t>以上价格包含垃圾清运及人工费用</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4"/>
        <w:jc w:val="center"/>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4"/>
        <w:rPr>
          <w:rFonts w:hint="eastAsia" w:ascii="仿宋" w:hAnsi="仿宋" w:eastAsia="仿宋" w:cs="仿宋"/>
          <w:sz w:val="24"/>
          <w:szCs w:val="24"/>
        </w:rPr>
      </w:pP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p>
    <w:p>
      <w:pPr>
        <w:pStyle w:val="4"/>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我方 （</w:t>
      </w:r>
      <w:r>
        <w:rPr>
          <w:rFonts w:hint="eastAsia" w:ascii="仿宋" w:hAnsi="仿宋" w:eastAsia="仿宋" w:cs="仿宋"/>
          <w:sz w:val="30"/>
          <w:szCs w:val="30"/>
          <w:lang w:val="en-US" w:eastAsia="zh-CN"/>
        </w:rPr>
        <w:t>公司名称</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承诺具有履行合同所必需的设备和专业技术能力。如有虚假，采购人可取消我方任何资格（投标/中标/签订合同），我方对此无任何异议。</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投标人全称（盖单位公章）：</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日期：   年  月  日</w:t>
      </w: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4"/>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hint="eastAsia" w:ascii="仿宋" w:hAnsi="仿宋" w:eastAsia="仿宋" w:cs="仿宋"/>
          <w:b/>
          <w:bCs/>
          <w:sz w:val="30"/>
          <w:szCs w:val="30"/>
        </w:rPr>
      </w:pPr>
      <w:r>
        <w:rPr>
          <w:rFonts w:hint="eastAsia" w:ascii="仿宋" w:hAnsi="仿宋" w:eastAsia="仿宋" w:cs="仿宋"/>
          <w:b/>
          <w:bCs/>
          <w:sz w:val="30"/>
          <w:szCs w:val="30"/>
        </w:rPr>
        <w:t>现 场 勘 察 证 明</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项目名称：1、浙江水利水电学院钱塘校区水表及水表井修复项目</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项目编号：SYHQX202</w:t>
      </w:r>
      <w:r>
        <w:rPr>
          <w:rFonts w:hint="eastAsia" w:ascii="仿宋" w:hAnsi="仿宋" w:eastAsia="仿宋" w:cs="仿宋"/>
          <w:sz w:val="30"/>
          <w:szCs w:val="30"/>
          <w:lang w:val="en-US" w:eastAsia="zh-CN"/>
        </w:rPr>
        <w:t>3</w:t>
      </w:r>
      <w:r>
        <w:rPr>
          <w:rFonts w:hint="eastAsia" w:ascii="仿宋" w:hAnsi="仿宋" w:eastAsia="仿宋" w:cs="仿宋"/>
          <w:sz w:val="30"/>
          <w:szCs w:val="30"/>
        </w:rPr>
        <w:t>0</w:t>
      </w:r>
      <w:r>
        <w:rPr>
          <w:rFonts w:hint="eastAsia" w:ascii="仿宋" w:hAnsi="仿宋" w:eastAsia="仿宋" w:cs="仿宋"/>
          <w:sz w:val="30"/>
          <w:szCs w:val="30"/>
          <w:lang w:val="en-US" w:eastAsia="zh-CN"/>
        </w:rPr>
        <w:t>805</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4"/>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应</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要求，我方（公司名称：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）于   年  月  日完成现场勘察，并根据</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要求自行设计技术方案，否则将视为无效投标，特此证明，此证明文件作为投标文件的有效组成部分。</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val="en-US" w:eastAsia="zh-CN"/>
        </w:rPr>
        <w:t>签字</w:t>
      </w:r>
      <w:r>
        <w:rPr>
          <w:rFonts w:hint="eastAsia" w:ascii="仿宋" w:hAnsi="仿宋" w:eastAsia="仿宋" w:cs="仿宋"/>
          <w:sz w:val="30"/>
          <w:szCs w:val="30"/>
        </w:rPr>
        <w:t>）</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lang w:val="en-US" w:eastAsia="zh-CN"/>
        </w:rPr>
        <w:t>公司</w:t>
      </w:r>
      <w:r>
        <w:rPr>
          <w:rFonts w:hint="eastAsia" w:ascii="仿宋" w:hAnsi="仿宋" w:eastAsia="仿宋" w:cs="仿宋"/>
          <w:sz w:val="30"/>
          <w:szCs w:val="30"/>
        </w:rPr>
        <w:t>名称：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val="en-US" w:eastAsia="zh-CN"/>
        </w:rPr>
        <w:t>签字</w:t>
      </w:r>
      <w:r>
        <w:rPr>
          <w:rFonts w:hint="eastAsia" w:ascii="仿宋" w:hAnsi="仿宋" w:eastAsia="仿宋" w:cs="仿宋"/>
          <w:sz w:val="30"/>
          <w:szCs w:val="30"/>
        </w:rPr>
        <w:t>盖章）</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勘察时间：      年       月      日</w:t>
      </w:r>
    </w:p>
    <w:p>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仿宋" w:hAnsi="仿宋" w:eastAsia="仿宋" w:cs="仿宋"/>
          <w:b/>
          <w:bCs/>
          <w:sz w:val="24"/>
          <w:szCs w:val="24"/>
        </w:rPr>
      </w:pPr>
    </w:p>
    <w:p>
      <w:pPr>
        <w:keepNext w:val="0"/>
        <w:keepLines w:val="0"/>
        <w:pageBreakBefore w:val="0"/>
        <w:widowControl w:val="0"/>
        <w:kinsoku/>
        <w:wordWrap/>
        <w:overflowPunct/>
        <w:topLinePunct w:val="0"/>
        <w:bidi w:val="0"/>
        <w:snapToGrid/>
        <w:spacing w:line="700" w:lineRule="exact"/>
        <w:rPr>
          <w:rFonts w:hint="eastAsia" w:ascii="仿宋" w:hAnsi="仿宋" w:eastAsia="仿宋" w:cs="仿宋"/>
          <w:sz w:val="24"/>
          <w:szCs w:val="24"/>
          <w:lang w:val="en-US" w:eastAsia="zh-CN"/>
        </w:rPr>
      </w:pPr>
    </w:p>
    <w:p>
      <w:pPr>
        <w:spacing w:line="360" w:lineRule="auto"/>
        <w:rPr>
          <w:rFonts w:hint="eastAsia" w:ascii="仿宋" w:hAnsi="仿宋" w:eastAsia="仿宋" w:cs="仿宋"/>
          <w:sz w:val="24"/>
          <w:szCs w:val="24"/>
          <w:lang w:val="en-US" w:eastAsia="zh-CN"/>
        </w:rPr>
      </w:pPr>
    </w:p>
    <w:p>
      <w:pPr>
        <w:spacing w:line="360" w:lineRule="auto"/>
        <w:rPr>
          <w:rFonts w:hint="eastAsia" w:ascii="仿宋" w:hAnsi="仿宋" w:eastAsia="仿宋" w:cs="仿宋"/>
          <w:sz w:val="24"/>
          <w:szCs w:val="24"/>
          <w:lang w:val="en-US" w:eastAsia="zh-CN"/>
        </w:rPr>
      </w:pPr>
    </w:p>
    <w:p>
      <w:pPr>
        <w:spacing w:line="360" w:lineRule="auto"/>
        <w:rPr>
          <w:rFonts w:hint="eastAsia" w:ascii="仿宋" w:hAnsi="仿宋" w:eastAsia="仿宋" w:cs="仿宋"/>
          <w:sz w:val="24"/>
          <w:szCs w:val="24"/>
          <w:lang w:val="en-US" w:eastAsia="zh-CN"/>
        </w:rPr>
      </w:pPr>
    </w:p>
    <w:p>
      <w:pPr>
        <w:spacing w:line="360" w:lineRule="auto"/>
        <w:rPr>
          <w:rFonts w:hint="eastAsia" w:ascii="仿宋" w:hAnsi="仿宋" w:eastAsia="仿宋" w:cs="仿宋"/>
          <w:sz w:val="24"/>
          <w:szCs w:val="24"/>
          <w:lang w:val="en-US" w:eastAsia="zh-CN"/>
        </w:rPr>
      </w:pPr>
    </w:p>
    <w:p>
      <w:pPr>
        <w:pStyle w:val="2"/>
        <w:ind w:left="0" w:leftChars="0" w:firstLine="0" w:firstLineChars="0"/>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C4709F7"/>
    <w:rsid w:val="0C4709F7"/>
    <w:rsid w:val="33003068"/>
    <w:rsid w:val="4FC71D1B"/>
    <w:rsid w:val="58017371"/>
    <w:rsid w:val="66673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qFormat/>
    <w:uiPriority w:val="0"/>
    <w:pPr>
      <w:ind w:firstLine="420"/>
    </w:pPr>
    <w:rPr>
      <w:rFonts w:ascii="Times New Roman" w:hAnsi="Times New Roman" w:eastAsia="仿宋_GB2312" w:cs="宋体"/>
      <w:b/>
      <w:bCs/>
      <w:color w:val="000000"/>
      <w:sz w:val="21"/>
      <w:lang w:val="en-US" w:eastAsia="zh-CN" w:bidi="ar-SA"/>
    </w:rPr>
  </w:style>
  <w:style w:type="paragraph" w:styleId="4">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5">
    <w:name w:val="Plain Text"/>
    <w:basedOn w:val="1"/>
    <w:qFormat/>
    <w:uiPriority w:val="99"/>
    <w:pPr>
      <w:spacing w:beforeLines="50" w:afterLines="50" w:line="400" w:lineRule="atLeast"/>
    </w:pPr>
    <w:rPr>
      <w:rFonts w:ascii="宋体" w:hAnsi="Courier New"/>
      <w:sz w:val="24"/>
    </w:rPr>
  </w:style>
  <w:style w:type="paragraph" w:customStyle="1" w:styleId="8">
    <w:name w:val="我的正文"/>
    <w:basedOn w:val="1"/>
    <w:qFormat/>
    <w:uiPriority w:val="0"/>
    <w:pPr>
      <w:spacing w:line="440" w:lineRule="exact"/>
      <w:ind w:firstLine="200" w:firstLineChars="200"/>
    </w:pPr>
    <w:rPr>
      <w:sz w:val="24"/>
      <w:szCs w:val="20"/>
    </w:rPr>
  </w:style>
  <w:style w:type="paragraph" w:customStyle="1" w:styleId="9">
    <w:name w:val="样式 宋体 11 磅 行距: 1.5 倍行距 首行缩进:  1.93 字符"/>
    <w:basedOn w:val="1"/>
    <w:qFormat/>
    <w:uiPriority w:val="0"/>
    <w:pPr>
      <w:spacing w:before="120" w:beforeLines="20" w:after="120" w:afterLines="20"/>
      <w:ind w:firstLine="425" w:firstLineChars="193"/>
    </w:pPr>
    <w:rPr>
      <w:rFonts w:ascii="宋体" w:hAnsi="宋体" w:cs="宋体"/>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925</Words>
  <Characters>1127</Characters>
  <Lines>0</Lines>
  <Paragraphs>0</Paragraphs>
  <TotalTime>0</TotalTime>
  <ScaleCrop>false</ScaleCrop>
  <LinksUpToDate>false</LinksUpToDate>
  <CharactersWithSpaces>1260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2023-08-14T02:13:00Z</dcterms:created>
  <dc:creator>zzj</dc:creator>
  <cp:lastModifiedBy>A盖世小可爱</cp:lastModifiedBy>
  <dcterms:modified xsi:type="dcterms:W3CDTF">2023-08-21T12:49:27Z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49E10AE52AE549F6A0FF8F36A7B73A20_13</vt:lpwstr>
  </property>
</Properties>
</file>