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3126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浙江水利水电学院钱塘校区生活区西门进出口双通道改造项目</w:t>
      </w:r>
    </w:p>
    <w:p w14:paraId="318E660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技术指标</w:t>
      </w:r>
    </w:p>
    <w:p w14:paraId="0CB8EF8E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leftChars="0" w:right="0" w:rightChars="0"/>
        <w:jc w:val="both"/>
        <w:rPr>
          <w:rFonts w:hint="eastAsia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u w:val="none"/>
          <w:lang w:val="en-US" w:eastAsia="zh-CN" w:bidi="ar-SA"/>
        </w:rPr>
      </w:pPr>
      <w:r>
        <w:rPr>
          <w:rFonts w:hint="eastAsia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lang w:val="en-US" w:eastAsia="zh-CN" w:bidi="ar-SA"/>
        </w:rPr>
        <w:t>一、</w:t>
      </w:r>
      <w:r>
        <w:rPr>
          <w:rFonts w:hint="eastAsia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u w:val="none"/>
          <w:lang w:val="en-US" w:eastAsia="zh-CN" w:bidi="ar-SA"/>
        </w:rPr>
        <w:t>基本情况</w:t>
      </w:r>
    </w:p>
    <w:p w14:paraId="41108089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right="0" w:rightChars="0" w:firstLine="56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浙江水利水电学院钱塘校区生活区西门进出口双通道改造项目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该进出口目前为学校钱塘校区生活区车辆主出入口，当前为单通道，存在出入口狭小问题，车辆、行人交汇时存在安全隐患，该项目主要解决此问题，具体工程量及技术指标如下：</w:t>
      </w:r>
    </w:p>
    <w:p w14:paraId="0C4ECEF5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leftChars="0" w:right="0" w:rightChars="0"/>
        <w:jc w:val="both"/>
        <w:rPr>
          <w:rFonts w:hint="default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u w:val="none"/>
          <w:lang w:val="en-US" w:eastAsia="zh-CN" w:bidi="ar-SA"/>
        </w:rPr>
      </w:pPr>
      <w:r>
        <w:rPr>
          <w:rFonts w:hint="eastAsia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lang w:val="en-US" w:eastAsia="zh-CN" w:bidi="ar-SA"/>
        </w:rPr>
        <w:t>二、</w:t>
      </w:r>
      <w:r>
        <w:rPr>
          <w:rFonts w:hint="eastAsia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u w:val="none"/>
          <w:lang w:val="en-US" w:eastAsia="zh-CN" w:bidi="ar-SA"/>
        </w:rPr>
        <w:t>工程量清单及报价（总预算：163600元）</w:t>
      </w:r>
    </w:p>
    <w:tbl>
      <w:tblPr>
        <w:tblStyle w:val="8"/>
        <w:tblW w:w="106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2010"/>
        <w:gridCol w:w="3015"/>
        <w:gridCol w:w="660"/>
        <w:gridCol w:w="825"/>
        <w:gridCol w:w="1110"/>
        <w:gridCol w:w="1155"/>
        <w:gridCol w:w="1414"/>
      </w:tblGrid>
      <w:tr w14:paraId="29BEE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48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F95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01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A57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01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D3C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项目特征描述</w:t>
            </w:r>
          </w:p>
        </w:tc>
        <w:tc>
          <w:tcPr>
            <w:tcW w:w="66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E6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CF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BB0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1DD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141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026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965B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7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32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校门外市政沥青道路拓宽</w:t>
            </w:r>
          </w:p>
        </w:tc>
      </w:tr>
      <w:tr w14:paraId="043C8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59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F91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拆除人行道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94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1、拆除石材面、透水砖人行道面层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2、拆除人行道砂浆粘接层、刚性基层、刚性垫层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03F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B81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D4E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5B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D2C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04EC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D4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854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拆除侧、平（缘）石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4E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1、拆除侧石、平石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2、拆除底部砂浆粘接层、刚性基层、刚性垫层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EF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550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C37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D50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686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B49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D8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90D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挖一般土方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75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1.土壤类别:柔性垫层、花坛土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2.挖土深度:2M 内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73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99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0E4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44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80F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7D75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C54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132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余方弃置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7F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1.废弃料品种:废弃渣土及建筑垃圾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2.运距:由施工单位自行考虑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B6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7A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BD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AD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DF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56AB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B5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B3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渣土消纳处置费用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16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1.废弃料品种:渣土及建筑垃圾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2.消纳场地位置:由施工单位自行考虑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BFC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4D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FC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38B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A5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5003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BB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CE0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路床(槽）整形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50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路床(槽)整形 路床碾压检验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111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3D7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D6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45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0E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79C1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D4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05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碎石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4C0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100厚碎石垫层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A9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1E3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48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EA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99A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9E2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B4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62E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水泥混凝土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EA2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200厚C30混凝土基层，长度方向每隔5m锯缝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C3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F19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792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77C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B0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9200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8E0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B4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现浇构件钢筋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0F9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1.钢筋种类:HRB400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2.钢筋规格:φ12mm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80A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6C6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48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AB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835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214E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98D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9ED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透层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CF7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乳化沥青透层，用量1.1L/m2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BC7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895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75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9EB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CE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86D0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56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C5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沥青混凝土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72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60厚AC-16C沥青混凝土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73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661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CF7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20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073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B0C8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0BD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C99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粘层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63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乳化沥青粘层，用量0.5L/m2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38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2A5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9C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8A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655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3BE8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3C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E2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沥青混凝土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485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40厚AC-13C沥青混凝土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95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B55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195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74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B6A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EB2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93A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620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安砌侧（平、缘）石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DE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100*200花岗岩侧石M7.5水泥砂浆安砌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F19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A8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C5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A2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D7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354A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A38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CB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人行道块料铺设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2B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大门外岗亭地面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1、100厚碎石垫层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2、150厚C25混凝土垫层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3、25厚芝麻灰花岗岩板用30厚M7.5水泥砂浆粘接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2D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61E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49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85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7C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D8F3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7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B13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围墙门卫移位改造</w:t>
            </w:r>
          </w:p>
        </w:tc>
      </w:tr>
      <w:tr w14:paraId="78425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30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B2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砖砌体拆除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FE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围墙及围墙饰面拆除，拆除高度至道路垫层底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0C1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21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97B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5C7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122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FB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36D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0FD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拆除路面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61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拆除门卫底部地面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拆除石材面层、砂浆粘接层、刚性基层、刚性垫层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FD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CE2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599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156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66C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95E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B27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07A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围墙栏杆拆除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F7D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围墙原有栏杆拆除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5B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D64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CCB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FD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B4E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7587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E62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623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挖一般土方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80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1.土壤类别:柔性垫层、花坛土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2.挖土深度:2M 内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D87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8D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FA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22D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9F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87A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84F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0CC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余方弃置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692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1.废弃料品种:废弃渣土及建筑垃圾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2.运距:由施工单位自行考虑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ABB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D5D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14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2C2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E3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CDD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97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21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渣土消纳处置费用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56C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1.废弃料品种:渣土及建筑垃圾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2.消纳场地位置:由施工单位自行考虑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379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B4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88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F2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8E5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3E7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7E5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729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人行道块料铺设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10A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门卫地面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1、100厚碎石垫层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2、200厚C25混凝土垫层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3、25厚芝麻灰花岗岩板用30厚M7.5水泥砂浆粘接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DDB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86C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575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FC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D66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5797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E21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89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道闸机移位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18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1、原有道闸拆除并妥善安置保护，道路施工完成后重新安装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2、含配管配线调整的所有内容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55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532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063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2B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B4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58BC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F8C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5EC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监控摄像机移位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F9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道闸辅助相机拆除并妥善安置，道路施工完成重新安装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，含原监控杆基础拆除、300*300*500新监控杆基础制作安装、模板制作安装、管线调整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7D5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6A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A78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CBC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C7D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265A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FA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00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柜体拆除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DA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门卫移位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1、含水电管线调整及因管线调整导致增加的交换机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2、含门卫移位后与原围墙交界处处理，满足建设单位要求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71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BFC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7CB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31F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14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2FA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A92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AE7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道闸机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84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1、类型:横杆道闸机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2、杆长：4-6m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3、速度：1.5秒-6秒可调，支持断电抬杆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4、支持外接雷达、线圈、红外防砸功能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5、含600*600*1000混凝土基础制作安装、含模板安拆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6、含道闸接入原系统的接入费及调试费，含达到使用条件的管线安装及原设施破除修复等各项费用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5B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3F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CD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950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B90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品牌：大华、海康威视、博世安防或相当于</w:t>
            </w:r>
          </w:p>
        </w:tc>
      </w:tr>
      <w:tr w14:paraId="404B8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F7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505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原有横杆道闸杆长度调整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6FE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1.原有横杆道闸杆件切割对长度进行调整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89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C5F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BE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F29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60AAB3">
            <w:pPr>
              <w:keepNext w:val="0"/>
              <w:keepLines w:val="0"/>
              <w:widowControl/>
              <w:suppressLineNumbers w:val="0"/>
              <w:wordWrap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72D2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3B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15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现浇构件钢筋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6B7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φ12@200三向钢筋笼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1.钢筋种类:HRB400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2.钢筋规格:12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D2A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D69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157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A25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DC5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949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7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2F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校园内道路拓宽</w:t>
            </w:r>
          </w:p>
        </w:tc>
      </w:tr>
      <w:tr w14:paraId="4B979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688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17F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拆除砖石结构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2D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拆除台阶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2A0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3C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BC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839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86E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0AA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18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DB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拆除侧石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727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保护性拆除花坛沿石并妥善安置保护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F9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9B1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9B7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1C2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72A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48C8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78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08D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拆除人行道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6A7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1、拆除原马克砖位置面层及刚性基层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2、拆除边缘切割修补平整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4E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370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451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B0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AD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A9A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57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FBF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挖一般土方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55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1.土壤类别:柔性垫层、花坛土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2.挖土深度:2M 内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518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EC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67E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170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3C3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537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24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81F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回填方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BC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1.密实度要求:达到规范要求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2.填方材料品种:开挖土石方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C0A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B1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D0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DA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321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7AF7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E8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EE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余方弃置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EAF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1.废弃料品种:废弃渣土及建筑垃圾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2.运距:由施工单位自行考虑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DF0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DF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88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75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CBE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7DC6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AF2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276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渣土消纳处置费用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CA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1.废弃料品种:渣土及建筑垃圾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2.消纳场地位置:由施工单位自行考虑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27B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458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455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36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CB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013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C6D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81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人行道整形碾压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E4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人行道整形碾压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CA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9A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7C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92B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B2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66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10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A5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人行道块料铺设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982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1、100厚碎石垫层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2、150厚C30混凝土基层，长度方向每隔5m锯缝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3、20厚M7.5干混水泥砂浆粘贴50厚砂基透水砖，颜色及规格由建设单位确定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16C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240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120.34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4D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82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3A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280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52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C33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安砌侧石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C0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原有侧石，M7.5干混水泥砂浆安砌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D8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C6A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59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58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724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1CF7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1B5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9C5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警示带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8F7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1.原有道路边缘侧石顶贴警示带，含基层清理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16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12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9F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A95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05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385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FD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FA3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零星砌砖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5C4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混凝土标准实心砖M7.5干混水泥砂浆砌筑砖砌台阶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571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6E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96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B0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8A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499F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3C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5D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石材台阶面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553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20厚干混水泥砂浆粘贴20厚火烧面芝麻灰花岗岩板台阶面（台阶顶贴警示带，含基层清理）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FFA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445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B3F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CF5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12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0476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9D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59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常规照明灯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C3A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路灯移位，含原路灯基础拆除、600*600*1000新路灯基础制作安装、模板制作安装、管线调整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2A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49A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9F3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7F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0D6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53D6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27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EA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监控杆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06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监控杆移位，含原监控杆基础拆除、600*600*1000新监控杆基础制作安装、模板制作安装、管线调整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E6E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DB7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BB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AFF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91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0968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1E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6A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现浇构件钢筋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AB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φ12@200三向钢筋笼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1.钢筋种类:HRB400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2.钢筋规格:12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4FD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914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A7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10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D80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7732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7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97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花坛改造</w:t>
            </w:r>
          </w:p>
        </w:tc>
      </w:tr>
      <w:tr w14:paraId="50996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7B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90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拆除侧石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16B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保护性拆除花坛沿石并妥善安置保护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CB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90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91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015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C7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296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E36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9B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挖一般土方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55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1.土壤类别:花坛土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2.挖土深度:2M 内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EC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3F4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E7A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FAF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B0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628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B8F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E3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余方弃置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C6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1.废弃料品种:废弃渣土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2.运距:由施工单位自行考虑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73C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4F6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F4D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B58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F27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0FF0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95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4D8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渣土消纳处置费用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135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1.废弃料品种:渣土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2.消纳场地位置:由施工单位自行考虑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631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8BE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E6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ED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8BD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3C29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2C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EB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人行道整形碾压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7FB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人行道整形碾压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C2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30A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151.32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D2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CD5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DF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2526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217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FD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人行道块料铺设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36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1、100厚碎石垫层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2、150厚C30混凝土基层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3、20厚M7.5干混水泥砂浆粘贴马克砖，颜色及规格由建设单位确定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D5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55A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151.32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57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DD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86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BC7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3C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1E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大型机械设备进出场及安拆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5E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1、包括但不限于履带式挖掘机等各类施工机械进出场及安拆费</w:t>
            </w:r>
          </w:p>
          <w:p w14:paraId="25AC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2、由施工单位根据施工组织设计自行考虑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10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819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2DE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55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97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3265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6ED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796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垫层模板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EC5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垫层模板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71D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93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D2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F4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FF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6869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6C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44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其他措施费用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5D6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1.包括但不限于施工围挡、交通导流、原有管线设施保护等各项施工组织措施费用</w:t>
            </w:r>
          </w:p>
          <w:p w14:paraId="1571A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2、由施工单位根据施工组织设计自行考虑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DE9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0F7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7E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F80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3F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34C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109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A1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合计（以上费用包含税费，规费和人工等费用）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D5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E8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</w:tbl>
    <w:p w14:paraId="6D95D8B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以上工程量包含垃圾清运、措施费等，详细内容以造价清单为准。</w:t>
      </w:r>
    </w:p>
    <w:p w14:paraId="063BA32B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leftChars="0" w:right="0" w:rightChars="0"/>
        <w:jc w:val="both"/>
        <w:rPr>
          <w:rFonts w:hint="eastAsia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u w:val="none"/>
          <w:lang w:val="en-US" w:eastAsia="zh-CN" w:bidi="ar-SA"/>
        </w:rPr>
      </w:pPr>
      <w:r>
        <w:rPr>
          <w:rFonts w:hint="eastAsia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lang w:val="en-US" w:eastAsia="zh-CN" w:bidi="ar-SA"/>
        </w:rPr>
        <w:t>三、</w:t>
      </w:r>
      <w:r>
        <w:rPr>
          <w:rFonts w:hint="eastAsia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u w:val="none"/>
          <w:lang w:val="en-US" w:eastAsia="zh-CN" w:bidi="ar-SA"/>
        </w:rPr>
        <w:t>材料选择要求</w:t>
      </w:r>
    </w:p>
    <w:p w14:paraId="4B080416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right="0" w:rightChars="0" w:firstLine="562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‌面层材料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‌</w:t>
      </w:r>
    </w:p>
    <w:p w14:paraId="37BEE375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right="0" w:rightChars="0" w:firstLine="56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采用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透水砖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应具备高强度、防滑性好、颜色均匀等特点。</w:t>
      </w:r>
    </w:p>
    <w:p w14:paraId="0EC32209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right="0" w:rightChars="0" w:firstLine="56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透水砖透水系数需达0.1mm/s以上，促进雨水下渗。</w:t>
      </w:r>
    </w:p>
    <w:p w14:paraId="5193466C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90" w:beforeAutospacing="0" w:after="0" w:afterAutospacing="0" w:line="240" w:lineRule="auto"/>
        <w:ind w:left="60" w:right="0" w:hanging="360"/>
        <w:jc w:val="left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drawing>
          <wp:inline distT="0" distB="0" distL="114300" distR="114300">
            <wp:extent cx="1524000" cy="1476375"/>
            <wp:effectExtent l="0" t="0" r="0" b="9525"/>
            <wp:docPr id="1" name="图片 1" descr="27ad2d13120dbb3d6b37b391794fc7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7ad2d13120dbb3d6b37b391794fc7f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D2976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90" w:beforeAutospacing="0" w:after="0" w:afterAutospacing="0" w:line="240" w:lineRule="auto"/>
        <w:ind w:left="60" w:right="0" w:hanging="36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  <w:t>图片仅作参考</w:t>
      </w:r>
    </w:p>
    <w:p w14:paraId="6FE68D6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 w:firstLine="240" w:firstLineChars="100"/>
        <w:jc w:val="left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</w:t>
      </w:r>
      <w:r>
        <w:rPr>
          <w:rStyle w:val="10"/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辅助材料</w:t>
      </w:r>
    </w:p>
    <w:p w14:paraId="4D79E4D2">
      <w:pPr>
        <w:keepNext w:val="0"/>
        <w:keepLines w:val="0"/>
        <w:widowControl/>
        <w:numPr>
          <w:ilvl w:val="1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wordWrap/>
        <w:spacing w:before="90" w:beforeAutospacing="0" w:after="0" w:afterAutospacing="0" w:line="240" w:lineRule="auto"/>
        <w:ind w:left="60" w:right="0" w:hanging="36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水泥宜选用P.O42.5硅酸盐水泥，砂浆配比常用1:3干硬性水泥砂浆。</w:t>
      </w:r>
    </w:p>
    <w:p w14:paraId="566737F5">
      <w:pPr>
        <w:keepNext w:val="0"/>
        <w:keepLines w:val="0"/>
        <w:widowControl/>
        <w:numPr>
          <w:ilvl w:val="1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wordWrap/>
        <w:spacing w:before="90" w:beforeAutospacing="0" w:after="0" w:afterAutospacing="0" w:line="240" w:lineRule="auto"/>
        <w:ind w:left="60" w:right="0" w:hanging="360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填缝剂应与块料颜色协调，具备防水、耐久、伸缩性好等性能。</w:t>
      </w:r>
    </w:p>
    <w:p w14:paraId="38F39AB5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leftChars="0" w:right="0" w:rightChars="0"/>
        <w:jc w:val="both"/>
        <w:rPr>
          <w:rFonts w:hint="eastAsia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u w:val="none"/>
          <w:lang w:val="en-US" w:eastAsia="zh-CN" w:bidi="ar-SA"/>
        </w:rPr>
      </w:pPr>
      <w:r>
        <w:rPr>
          <w:rFonts w:hint="eastAsia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lang w:val="en-US" w:eastAsia="zh-CN" w:bidi="ar-SA"/>
        </w:rPr>
        <w:t>四、</w:t>
      </w:r>
      <w:r>
        <w:rPr>
          <w:rFonts w:hint="eastAsia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u w:val="none"/>
          <w:lang w:val="en-US" w:eastAsia="zh-CN" w:bidi="ar-SA"/>
        </w:rPr>
        <w:t>基层施工要点（部分）</w:t>
      </w:r>
    </w:p>
    <w:p w14:paraId="55D3B345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人行道砖的铺设施工，必须严格遵循相关的技术标准与操作规范。首先，基础处理是保障整体工程质量的前提，必须确保路基平整、压实度达标，并做好排水设计。其次，铺砖过程中要严格控制砖块间的缝隙宽度与平整度，使用专业工具进行精细调整，确保整体线型顺直、表面平顺。同时，砖块之间的填缝材料需饱满密实，以增强结构的稳定性并有效防止积水。最后，施工完毕后应及时进行养护，在达到规定强度前避免承重或通行，以确保铺设成果持久耐用，满足长期使用的要求。</w:t>
      </w:r>
    </w:p>
    <w:p w14:paraId="47E15F57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Chars="0" w:right="0" w:rightChars="0"/>
        <w:jc w:val="both"/>
        <w:rPr>
          <w:rFonts w:hint="default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kern w:val="2"/>
          <w:sz w:val="27"/>
          <w:szCs w:val="27"/>
          <w:shd w:val="clear" w:fill="FFFFFF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kern w:val="2"/>
          <w:sz w:val="27"/>
          <w:szCs w:val="27"/>
          <w:shd w:val="clear" w:fill="FFFFFF"/>
          <w:lang w:val="en-US" w:eastAsia="zh-CN" w:bidi="ar-SA"/>
        </w:rPr>
        <w:t>（2）广场马克砖铺设施工技术要求：</w:t>
      </w:r>
    </w:p>
    <w:p w14:paraId="26218D6F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Chars="0" w:right="0" w:rightChars="0" w:firstLine="56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施工前，需对基层进行彻底处理，确保地基平整、坚实且无松软或积水现象。铺贴时，应根据设计图纸精确放线，砖块排列需规整，接缝需均匀、顺直。铺设过程中，应使用橡皮锤轻击砖面使其稳定，并随时使用水平尺校验平整度。砂浆填充应饱满密实，不得有空鼓。完成铺设后，应及时清理砖面残留物，并进行必要的养护，以保证铺装工程的最终质量与美观效果。</w:t>
      </w:r>
    </w:p>
    <w:p w14:paraId="3811656F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Chars="0" w:right="0" w:rightChars="0"/>
        <w:jc w:val="both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kern w:val="2"/>
          <w:sz w:val="27"/>
          <w:szCs w:val="27"/>
          <w:shd w:val="clear" w:fill="FFFFFF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kern w:val="2"/>
          <w:sz w:val="27"/>
          <w:szCs w:val="27"/>
          <w:shd w:val="clear" w:fill="FFFFFF"/>
          <w:lang w:val="en-US" w:eastAsia="zh-CN" w:bidi="ar-SA"/>
        </w:rPr>
        <w:t>（3）新岗亭配套使用的道闸与栏杆系统，其安装实施需满足以下具体技术要求。</w:t>
      </w:r>
    </w:p>
    <w:p w14:paraId="24332005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Chars="0" w:right="0" w:rightChars="0" w:firstLine="56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安装过程应严格遵循设计图纸与施工规范，确保道闸主机稳固牢靠，其基础需具备足够的承重能力与抗震动性能。栏杆的安装应做到运行平顺、启闭灵敏，抬杆与落杆的轨迹须精准、无卡滞。所有电气接线必须符合安全标准，做好防水与绝缘处理，保障系统在各种天气条件下的长期稳定运行。安装完成后，需进行全面的功能调试与可靠性测试，确保整套设备响应及时、控制精确，能够满足日常车辆出入管理的实际需求。</w:t>
      </w:r>
    </w:p>
    <w:p w14:paraId="49CACB58">
      <w:pPr>
        <w:pStyle w:val="7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leftChars="0" w:right="0" w:rightChars="0" w:firstLine="0" w:firstLineChars="0"/>
        <w:jc w:val="both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kern w:val="2"/>
          <w:sz w:val="27"/>
          <w:szCs w:val="27"/>
          <w:shd w:val="clear" w:fill="FFFFFF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kern w:val="2"/>
          <w:sz w:val="27"/>
          <w:szCs w:val="27"/>
          <w:shd w:val="clear" w:fill="FFFFFF"/>
          <w:lang w:val="en-US" w:eastAsia="zh-CN" w:bidi="ar-SA"/>
        </w:rPr>
        <w:t>路灯移位的具体施工方案及配套基础的浇筑作业，必须严格遵循以下技术要求：</w:t>
      </w:r>
    </w:p>
    <w:p w14:paraId="7D53FB17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right="0" w:rightChars="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 xml:space="preserve">    施工前需对拟移位的路灯进行全面检查，确认其结构状况，并根据新的</w:t>
      </w:r>
      <w:r>
        <w:rPr>
          <w:rFonts w:hint="eastAsia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u w:val="none"/>
          <w:lang w:val="en-US" w:eastAsia="zh-CN" w:bidi="ar-SA"/>
        </w:rPr>
        <w:t>安装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点位进行精确测量与定位。基础浇筑部分应依据设计图纸，规范实施基坑开挖、模板支护、钢筋绑扎等工序，保证混凝土配比符合标准，浇筑过程需连续进行，确保振捣密实，避免出现蜂窝、麻面等质量缺陷。施工完成后，应及时进行养护，待混凝土强度达到设计要求后，方可进行路灯杆体的安装与调试。整个作业过程需兼顾施工效率与工艺质量，确保移位后的路灯能够安全、可靠地投入运行。</w:t>
      </w:r>
    </w:p>
    <w:p w14:paraId="5E286FA1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Chars="0" w:right="0" w:rightChars="0" w:firstLine="562" w:firstLineChars="200"/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以上所有维修改造，要求现场勘查，含原有材料拆除及垃圾外运卫生清理等。</w:t>
      </w:r>
    </w:p>
    <w:p w14:paraId="21642660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leftChars="0" w:right="0" w:rightChars="0"/>
        <w:jc w:val="both"/>
        <w:rPr>
          <w:rFonts w:hint="default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lang w:val="en-US" w:eastAsia="zh-CN" w:bidi="ar-SA"/>
        </w:rPr>
      </w:pPr>
      <w:r>
        <w:rPr>
          <w:rFonts w:hint="eastAsia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lang w:val="en-US" w:eastAsia="zh-CN" w:bidi="ar-SA"/>
        </w:rPr>
        <w:t>五、项目工期要求</w:t>
      </w:r>
    </w:p>
    <w:p w14:paraId="670B5F8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560" w:firstLineChars="200"/>
        <w:jc w:val="both"/>
        <w:textAlignment w:val="auto"/>
        <w:rPr>
          <w:rFonts w:hint="default" w:eastAsia="宋体" w:asciiTheme="minorEastAsia" w:hAnsiTheme="minorEastAsia" w:cstheme="minorEastAsia"/>
          <w:b/>
          <w:bCs/>
          <w:i w:val="0"/>
          <w:iCs w:val="0"/>
          <w:caps w:val="0"/>
          <w:strike w:val="0"/>
          <w:color w:val="auto"/>
          <w:spacing w:val="0"/>
          <w:kern w:val="2"/>
          <w:sz w:val="28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合同签订后40日历天完工。</w:t>
      </w:r>
      <w:bookmarkStart w:id="0" w:name="_GoBack"/>
      <w:bookmarkEnd w:id="0"/>
    </w:p>
    <w:p w14:paraId="47DBA2CF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right="0" w:rightChars="0"/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</w:p>
    <w:p w14:paraId="6E021927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right="0" w:rightChars="0"/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756EB450">
      <w:pPr>
        <w:pStyle w:val="4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具有履行合同所必需的设备和专业技术能力的承诺函</w:t>
      </w:r>
    </w:p>
    <w:p w14:paraId="381DEBA4">
      <w:pPr>
        <w:pStyle w:val="4"/>
        <w:rPr>
          <w:rFonts w:hint="eastAsia" w:ascii="宋体" w:hAnsi="宋体" w:eastAsia="宋体" w:cs="宋体"/>
          <w:sz w:val="21"/>
          <w:szCs w:val="21"/>
        </w:rPr>
      </w:pPr>
    </w:p>
    <w:p w14:paraId="20914F8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采购人：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浙江水利水电学院</w:t>
      </w:r>
    </w:p>
    <w:p w14:paraId="27896CD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firstLine="480" w:firstLineChars="20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我方（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公司名称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24"/>
          <w:szCs w:val="24"/>
        </w:rPr>
        <w:t>承诺具有履行合同所必需的设备和专业技术能力。如有虚假，采购人可取消我方任何资格（投标/中标/签订合同），我方对此无任何异议。</w:t>
      </w:r>
    </w:p>
    <w:p w14:paraId="14E5B27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244075F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投标人全称（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加</w:t>
      </w:r>
      <w:r>
        <w:rPr>
          <w:rFonts w:hint="eastAsia" w:ascii="宋体" w:hAnsi="宋体" w:eastAsia="宋体" w:cs="宋体"/>
          <w:sz w:val="24"/>
          <w:szCs w:val="24"/>
        </w:rPr>
        <w:t>盖单位公章）：</w:t>
      </w:r>
    </w:p>
    <w:p w14:paraId="2365C58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  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 月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日</w:t>
      </w:r>
    </w:p>
    <w:p w14:paraId="59E3CCD0">
      <w:pPr>
        <w:pStyle w:val="4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现 场 勘 察 证 明</w:t>
      </w:r>
    </w:p>
    <w:p w14:paraId="456D5BA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left="420" w:leftChars="0" w:firstLine="420" w:firstLineChars="0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项目名称：浙江水利水电学院钱塘校区生活区西门进出口双通道改造项目</w:t>
      </w:r>
    </w:p>
    <w:p w14:paraId="1BD2222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left="420" w:leftChars="0" w:firstLine="420" w:firstLineChars="0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F3C0FC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left="420" w:leftChars="0" w:firstLine="420" w:firstLineChars="0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应采购人要求，我方（公司名称：                      ）于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年   月   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完成现场勘察，并根据采购人要求自行设计技术方案，否则将视为无效投标，特此证明，此证明文件作为投标文件的有效组成部分。</w:t>
      </w:r>
    </w:p>
    <w:p w14:paraId="08414DA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800" w:lineRule="exact"/>
        <w:ind w:left="840" w:leftChars="0" w:firstLine="420" w:firstLineChars="0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采购人：                 （签字）</w:t>
      </w:r>
    </w:p>
    <w:p w14:paraId="51A9A35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800" w:lineRule="exact"/>
        <w:ind w:left="840" w:leftChars="0" w:firstLine="420" w:firstLineChars="0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投标人公司名称：                          （加盖公章）</w:t>
      </w:r>
    </w:p>
    <w:p w14:paraId="1ECEF48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800" w:lineRule="exact"/>
        <w:ind w:left="840" w:leftChars="0" w:firstLine="420" w:firstLineChars="0"/>
        <w:textAlignment w:val="baseline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勘察时间：       年       月      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F270A2-CE94-4B49-9D9E-EBB20FD396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B533C50-944E-4783-9A39-B766A01163C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37C4EE7-6197-452D-A57F-0437936B87D4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A75E35"/>
    <w:multiLevelType w:val="multilevel"/>
    <w:tmpl w:val="36A75E35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sz w:val="20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5C190AF6"/>
    <w:multiLevelType w:val="singleLevel"/>
    <w:tmpl w:val="5C190AF6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DC6BB7"/>
    <w:rsid w:val="001D4206"/>
    <w:rsid w:val="019978BC"/>
    <w:rsid w:val="05254D87"/>
    <w:rsid w:val="0592672F"/>
    <w:rsid w:val="07AA4BA0"/>
    <w:rsid w:val="080D2DB2"/>
    <w:rsid w:val="08CB2A51"/>
    <w:rsid w:val="09AB2883"/>
    <w:rsid w:val="0A682522"/>
    <w:rsid w:val="0B266665"/>
    <w:rsid w:val="0D330BC5"/>
    <w:rsid w:val="0D577835"/>
    <w:rsid w:val="0D780CCE"/>
    <w:rsid w:val="0D9412AB"/>
    <w:rsid w:val="0DEA14DC"/>
    <w:rsid w:val="0E6F3E7F"/>
    <w:rsid w:val="0E963B01"/>
    <w:rsid w:val="0EA55AF2"/>
    <w:rsid w:val="0F0E5A87"/>
    <w:rsid w:val="0FD83CA6"/>
    <w:rsid w:val="116B3023"/>
    <w:rsid w:val="11C5058A"/>
    <w:rsid w:val="11F868AC"/>
    <w:rsid w:val="12114F0A"/>
    <w:rsid w:val="12137217"/>
    <w:rsid w:val="14221993"/>
    <w:rsid w:val="145F7599"/>
    <w:rsid w:val="15051099"/>
    <w:rsid w:val="15BF393E"/>
    <w:rsid w:val="16785E60"/>
    <w:rsid w:val="16F577B6"/>
    <w:rsid w:val="1A584361"/>
    <w:rsid w:val="1B1A33C4"/>
    <w:rsid w:val="1B8D3B96"/>
    <w:rsid w:val="1BAE077A"/>
    <w:rsid w:val="1C4B0B43"/>
    <w:rsid w:val="1CA17494"/>
    <w:rsid w:val="1CB87339"/>
    <w:rsid w:val="1DB96EC4"/>
    <w:rsid w:val="20B971DB"/>
    <w:rsid w:val="21117017"/>
    <w:rsid w:val="22903D7B"/>
    <w:rsid w:val="24227AC0"/>
    <w:rsid w:val="261A5A10"/>
    <w:rsid w:val="270C4509"/>
    <w:rsid w:val="27462F7F"/>
    <w:rsid w:val="2811394C"/>
    <w:rsid w:val="282D4176"/>
    <w:rsid w:val="28706D19"/>
    <w:rsid w:val="28F11C08"/>
    <w:rsid w:val="2ADF3CE2"/>
    <w:rsid w:val="2C5F6ABA"/>
    <w:rsid w:val="2D2D51D9"/>
    <w:rsid w:val="2E7F7CB6"/>
    <w:rsid w:val="2EE35F25"/>
    <w:rsid w:val="302503E9"/>
    <w:rsid w:val="30E53E11"/>
    <w:rsid w:val="31440D43"/>
    <w:rsid w:val="32733BBE"/>
    <w:rsid w:val="339A00B5"/>
    <w:rsid w:val="342908DC"/>
    <w:rsid w:val="348558FB"/>
    <w:rsid w:val="349F69BC"/>
    <w:rsid w:val="35060026"/>
    <w:rsid w:val="3632560E"/>
    <w:rsid w:val="36FF1994"/>
    <w:rsid w:val="370C0FFD"/>
    <w:rsid w:val="37667C65"/>
    <w:rsid w:val="38BF587F"/>
    <w:rsid w:val="38C23126"/>
    <w:rsid w:val="3930052B"/>
    <w:rsid w:val="3A15327D"/>
    <w:rsid w:val="3A387855"/>
    <w:rsid w:val="3ABB07CE"/>
    <w:rsid w:val="3B056063"/>
    <w:rsid w:val="3B1662FE"/>
    <w:rsid w:val="3B546F95"/>
    <w:rsid w:val="3BAE46FA"/>
    <w:rsid w:val="3BB30F9F"/>
    <w:rsid w:val="3CBD31B6"/>
    <w:rsid w:val="3CC85B63"/>
    <w:rsid w:val="3E666E62"/>
    <w:rsid w:val="3F696545"/>
    <w:rsid w:val="3F895F2B"/>
    <w:rsid w:val="40104C12"/>
    <w:rsid w:val="40DC6BB7"/>
    <w:rsid w:val="40F005A0"/>
    <w:rsid w:val="40F77B80"/>
    <w:rsid w:val="41BD66D4"/>
    <w:rsid w:val="42360234"/>
    <w:rsid w:val="424150D3"/>
    <w:rsid w:val="42A41642"/>
    <w:rsid w:val="42D31F27"/>
    <w:rsid w:val="430F2F5F"/>
    <w:rsid w:val="43574906"/>
    <w:rsid w:val="43C077A8"/>
    <w:rsid w:val="4407106E"/>
    <w:rsid w:val="457C0654"/>
    <w:rsid w:val="46623CEE"/>
    <w:rsid w:val="48D32C81"/>
    <w:rsid w:val="48E938EC"/>
    <w:rsid w:val="490E2FA4"/>
    <w:rsid w:val="4A9C3861"/>
    <w:rsid w:val="4A9E2E1A"/>
    <w:rsid w:val="4B553E21"/>
    <w:rsid w:val="4B8B7843"/>
    <w:rsid w:val="4DD67B6B"/>
    <w:rsid w:val="500804DB"/>
    <w:rsid w:val="510A745C"/>
    <w:rsid w:val="51B47D8C"/>
    <w:rsid w:val="51E43809"/>
    <w:rsid w:val="521074C0"/>
    <w:rsid w:val="52873D72"/>
    <w:rsid w:val="528A4CF6"/>
    <w:rsid w:val="52C82F49"/>
    <w:rsid w:val="52E3136B"/>
    <w:rsid w:val="53334A48"/>
    <w:rsid w:val="538B3AD3"/>
    <w:rsid w:val="53D004E8"/>
    <w:rsid w:val="54274254"/>
    <w:rsid w:val="555E131C"/>
    <w:rsid w:val="558105D7"/>
    <w:rsid w:val="56085F32"/>
    <w:rsid w:val="565405AF"/>
    <w:rsid w:val="56574EF1"/>
    <w:rsid w:val="57E013BB"/>
    <w:rsid w:val="58B93410"/>
    <w:rsid w:val="59284923"/>
    <w:rsid w:val="59592D2E"/>
    <w:rsid w:val="59927FEE"/>
    <w:rsid w:val="5A40750D"/>
    <w:rsid w:val="5A4237C2"/>
    <w:rsid w:val="5A7C4202"/>
    <w:rsid w:val="5CE93B60"/>
    <w:rsid w:val="5DBE7604"/>
    <w:rsid w:val="5E5757D7"/>
    <w:rsid w:val="5E5E4943"/>
    <w:rsid w:val="5EAA422E"/>
    <w:rsid w:val="5F702B80"/>
    <w:rsid w:val="5FE1582B"/>
    <w:rsid w:val="61AB60F1"/>
    <w:rsid w:val="62CD6317"/>
    <w:rsid w:val="62F132CF"/>
    <w:rsid w:val="639332E1"/>
    <w:rsid w:val="642301C1"/>
    <w:rsid w:val="642E2E9F"/>
    <w:rsid w:val="65D976D1"/>
    <w:rsid w:val="668F7D8F"/>
    <w:rsid w:val="67077707"/>
    <w:rsid w:val="67242BCD"/>
    <w:rsid w:val="68AD6BF3"/>
    <w:rsid w:val="69724444"/>
    <w:rsid w:val="6B6F6301"/>
    <w:rsid w:val="6B8160BD"/>
    <w:rsid w:val="6B992596"/>
    <w:rsid w:val="6D323B6A"/>
    <w:rsid w:val="6D601515"/>
    <w:rsid w:val="6DA22A9E"/>
    <w:rsid w:val="6DFB0A7C"/>
    <w:rsid w:val="6E8B781F"/>
    <w:rsid w:val="6EFC2E2E"/>
    <w:rsid w:val="6F3F60CB"/>
    <w:rsid w:val="709C1A26"/>
    <w:rsid w:val="70C034B7"/>
    <w:rsid w:val="712A3457"/>
    <w:rsid w:val="7251779C"/>
    <w:rsid w:val="72DF0305"/>
    <w:rsid w:val="73481E9C"/>
    <w:rsid w:val="738844E4"/>
    <w:rsid w:val="744F0B5E"/>
    <w:rsid w:val="748702F8"/>
    <w:rsid w:val="751F6782"/>
    <w:rsid w:val="759E4985"/>
    <w:rsid w:val="75AE7B06"/>
    <w:rsid w:val="760151E8"/>
    <w:rsid w:val="768E1E11"/>
    <w:rsid w:val="76BD44A5"/>
    <w:rsid w:val="78632E2A"/>
    <w:rsid w:val="7987219A"/>
    <w:rsid w:val="7AA91CB5"/>
    <w:rsid w:val="7BA1462A"/>
    <w:rsid w:val="7BDC5744"/>
    <w:rsid w:val="7BF217AA"/>
    <w:rsid w:val="7C6929D9"/>
    <w:rsid w:val="7D80622C"/>
    <w:rsid w:val="7E0D3F64"/>
    <w:rsid w:val="7E8D0C00"/>
    <w:rsid w:val="7E9E5DAE"/>
    <w:rsid w:val="7EB62A8C"/>
    <w:rsid w:val="7ECB34D7"/>
    <w:rsid w:val="7EE822DB"/>
    <w:rsid w:val="7EEE540E"/>
    <w:rsid w:val="7F2C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7"/>
    <w:next w:val="1"/>
    <w:unhideWhenUsed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4">
    <w:name w:val="Body Text"/>
    <w:basedOn w:val="1"/>
    <w:qFormat/>
    <w:uiPriority w:val="0"/>
    <w:pPr>
      <w:adjustRightInd w:val="0"/>
      <w:spacing w:line="315" w:lineRule="atLeast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2534</Words>
  <Characters>2984</Characters>
  <Lines>0</Lines>
  <Paragraphs>0</Paragraphs>
  <TotalTime>3</TotalTime>
  <ScaleCrop>false</ScaleCrop>
  <LinksUpToDate>false</LinksUpToDate>
  <CharactersWithSpaces>2997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2026-04-15T01:48:00Z</dcterms:created>
  <dc:creator>ZcccY</dc:creator>
  <cp:lastModifiedBy>Lenovo</cp:lastModifiedBy>
  <dcterms:modified xsi:type="dcterms:W3CDTF">2026-05-11T02:15:32Z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41B61B0F251A4B2AB4465ED52A722772_11</vt:lpwstr>
  </property>
  <property fmtid="{D5CDD505-2E9C-101B-9397-08002B2CF9AE}" pid="4" name="KSOTemplateDocerSaveRecord">
    <vt:lpwstr>eyJoZGlkIjoiZmNiYjhjMGFjYWM5NDMyMmZlY2Q3OGEwYjYxNTNlYTkifQ==</vt:lpwstr>
  </property>
</Properties>
</file>