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ind w:left="283" w:leftChars="135" w:right="422" w:rightChars="201"/>
        <w:jc w:val="center"/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lang w:val="en-US" w:eastAsia="zh-CN"/>
        </w:rPr>
        <w:t>浙江水利水电学院两校区食堂蒸汽发生器</w:t>
      </w:r>
    </w:p>
    <w:p>
      <w:pPr>
        <w:widowControl/>
        <w:spacing w:line="300" w:lineRule="auto"/>
        <w:ind w:left="283" w:leftChars="135" w:right="422" w:rightChars="201"/>
        <w:jc w:val="center"/>
        <w:rPr>
          <w:rFonts w:hint="default" w:ascii="微软雅黑" w:hAnsi="微软雅黑" w:eastAsia="微软雅黑" w:cs="微软雅黑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lang w:val="en-US" w:eastAsia="zh-CN"/>
        </w:rPr>
        <w:t>维保技术指标及报价单</w:t>
      </w:r>
    </w:p>
    <w:p>
      <w:pPr>
        <w:spacing w:line="360" w:lineRule="auto"/>
        <w:ind w:firstLine="480"/>
        <w:rPr>
          <w:rFonts w:ascii="宋体" w:cs="宋体"/>
          <w:color w:val="000000"/>
          <w:sz w:val="24"/>
          <w:szCs w:val="24"/>
          <w:highlight w:val="none"/>
        </w:rPr>
      </w:pPr>
      <w:r>
        <w:rPr>
          <w:rFonts w:ascii="宋体" w:hAnsi="宋体" w:cs="宋体"/>
          <w:spacing w:val="-6"/>
          <w:sz w:val="24"/>
          <w:szCs w:val="24"/>
          <w:highlight w:val="none"/>
        </w:rPr>
        <w:t xml:space="preserve">                                                  </w:t>
      </w:r>
    </w:p>
    <w:p>
      <w:pPr>
        <w:numPr>
          <w:ilvl w:val="0"/>
          <w:numId w:val="1"/>
        </w:numPr>
        <w:spacing w:line="480" w:lineRule="auto"/>
        <w:rPr>
          <w:rFonts w:ascii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产品及服务：</w:t>
      </w:r>
      <w:r>
        <w:rPr>
          <w:rFonts w:ascii="宋体" w:cs="宋体"/>
          <w:b/>
          <w:bCs/>
          <w:color w:val="000000"/>
          <w:sz w:val="24"/>
          <w:szCs w:val="24"/>
          <w:highlight w:val="none"/>
        </w:rPr>
        <w:tab/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1、钱塘校区  </w:t>
      </w: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（单位：元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/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年）</w:t>
      </w:r>
    </w:p>
    <w:tbl>
      <w:tblPr>
        <w:tblStyle w:val="11"/>
        <w:tblpPr w:leftFromText="180" w:rightFromText="180" w:vertAnchor="text" w:horzAnchor="page" w:tblpX="1805" w:tblpY="457"/>
        <w:tblOverlap w:val="never"/>
        <w:tblW w:w="8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9"/>
        <w:gridCol w:w="599"/>
        <w:gridCol w:w="600"/>
        <w:gridCol w:w="1733"/>
        <w:gridCol w:w="1017"/>
        <w:gridCol w:w="1201"/>
        <w:gridCol w:w="1218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元/模块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年维保费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蒸汽机组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ZQ12T40*3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ZQ12T40*2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热水机组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RS12T40*3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RS12T40*2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合计金额：</w:t>
            </w:r>
          </w:p>
        </w:tc>
        <w:tc>
          <w:tcPr>
            <w:tcW w:w="70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880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备注：价格含税、人工、运输等所有费用，日常维修所产生的交换器、燃烧器、分段阀、主控控制器、主控面板、水位探头(水位传感器)、温控探头、稳压阀、数码风机、点火控制器、变压器、风压开关、软水树脂、继电器、高温传感器、分体式水泵、增压泵、50L定压罐、100L定压罐、水电磁阀、高温电磁阀、水流开关、压力开关、燃气减压阀、安全阀、控制按钮、不锈钢波纹管（6*130）、不锈钢波纹管（6*300）、铜截止阀、压力控制器、上门服务等费用全部由服务方负责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="480" w:leftChars="0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  <w:highlight w:val="none"/>
        </w:rPr>
      </w:pPr>
      <w:bookmarkStart w:id="0" w:name="_GoBack"/>
      <w:bookmarkEnd w:id="0"/>
    </w:p>
    <w:p>
      <w:pPr>
        <w:pStyle w:val="2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numPr>
          <w:ilvl w:val="0"/>
          <w:numId w:val="2"/>
        </w:numPr>
        <w:spacing w:line="360" w:lineRule="auto"/>
        <w:ind w:left="480" w:leftChars="0" w:firstLine="0" w:firstLineChars="0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南浔校区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                                     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（单位：元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/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年）</w:t>
      </w:r>
    </w:p>
    <w:tbl>
      <w:tblPr>
        <w:tblStyle w:val="11"/>
        <w:tblW w:w="1001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3"/>
        <w:gridCol w:w="1140"/>
        <w:gridCol w:w="1476"/>
        <w:gridCol w:w="1590"/>
        <w:gridCol w:w="1198"/>
        <w:gridCol w:w="1218"/>
        <w:gridCol w:w="1218"/>
        <w:gridCol w:w="12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模块数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年维保费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东泽苑二楼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超低氮冷凝蒸汽机组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LSS0.2-0.8-Q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反渗透纯水设备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1吨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西润楼一楼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超低氮冷凝蒸汽机组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LSS0.2-0.8-Q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软水处理器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吨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西润楼二楼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超低氮冷凝蒸汽机组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LSS0.2-0.8-Q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反渗透纯水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1吨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9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1001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:此预算含税、人工、运输等所有费用，日常维修所产生的交换器、燃烧器、分段阀、主控控制器、主控面板、水位探头(水位传感器)、温控探头、稳压阀、数码风机、点火控制器、变压器、风压开关、软水树脂、继电器、高温传感器、分体式水泵、增压泵、50L定压罐、100L定压罐、水电磁阀、高温电磁阀、水流开关、压力开关、燃气减压阀、安全阀、控制按钮、不锈钢波纹管(6*130)、表面纤维金属燃烧棒，文丘里、变频风机、燃气电磁阀、不锈钢波纹管(6*300)、铜截止阀、压力控制器、烟温传感器、热保、中间继电器、主板、液晶显示屏控制器、点火针、自检针、空滤、小火电磁阀、火焰检测盒、压力变送器、上门服务等费部由服务方负责。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ascii="宋体" w:hAnsi="宋体" w:cs="宋体"/>
          <w:color w:val="000000"/>
          <w:sz w:val="24"/>
          <w:szCs w:val="24"/>
          <w:highlight w:val="none"/>
        </w:rPr>
        <w:t xml:space="preserve">           </w:t>
      </w:r>
    </w:p>
    <w:p>
      <w:pPr>
        <w:pStyle w:val="10"/>
        <w:widowControl/>
        <w:wordWrap w:val="0"/>
        <w:spacing w:beforeAutospacing="0" w:afterAutospacing="0" w:line="360" w:lineRule="auto"/>
        <w:rPr>
          <w:rFonts w:ascii="宋体" w:cs="宋体"/>
          <w:b/>
          <w:bCs/>
          <w:color w:val="000000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Cs w:val="24"/>
          <w:highlight w:val="none"/>
          <w:lang w:eastAsia="zh-CN"/>
        </w:rPr>
        <w:t>二、</w:t>
      </w:r>
      <w:r>
        <w:rPr>
          <w:rFonts w:hint="eastAsia" w:ascii="宋体" w:hAnsi="宋体" w:cs="宋体"/>
          <w:b/>
          <w:bCs/>
          <w:color w:val="000000"/>
          <w:szCs w:val="24"/>
          <w:highlight w:val="none"/>
        </w:rPr>
        <w:t>服务内容：</w:t>
      </w: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 w:ascii="Calibri" w:hAnsi="Calibri"/>
          <w:kern w:val="2"/>
          <w:szCs w:val="24"/>
          <w:highlight w:val="none"/>
          <w:lang w:eastAsia="zh-CN"/>
        </w:rPr>
      </w:pPr>
      <w:r>
        <w:rPr>
          <w:rFonts w:hint="eastAsia" w:ascii="Calibri" w:hAnsi="Calibri"/>
          <w:kern w:val="2"/>
          <w:szCs w:val="24"/>
          <w:highlight w:val="none"/>
          <w:lang w:eastAsia="zh-CN"/>
        </w:rPr>
        <w:t>1、每个学期对钱塘校区和南浔校区</w:t>
      </w:r>
      <w:r>
        <w:rPr>
          <w:rFonts w:hint="eastAsia" w:ascii="Calibri" w:hAnsi="Calibri"/>
          <w:kern w:val="2"/>
          <w:szCs w:val="24"/>
          <w:highlight w:val="none"/>
          <w:lang w:val="en-US" w:eastAsia="zh-CN"/>
        </w:rPr>
        <w:t>食堂蒸汽发生器相关设备</w:t>
      </w:r>
      <w:r>
        <w:rPr>
          <w:rFonts w:hint="eastAsia" w:ascii="Calibri" w:hAnsi="Calibri"/>
          <w:kern w:val="2"/>
          <w:szCs w:val="24"/>
          <w:highlight w:val="none"/>
          <w:lang w:eastAsia="zh-CN"/>
        </w:rPr>
        <w:t>进行定期检查服务，通过定期检查及时发现和处理设备存在的故障隐患，做好预防性检查确保设备的正常运行。</w:t>
      </w: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 w:ascii="Calibri" w:hAnsi="Calibri"/>
          <w:kern w:val="2"/>
          <w:szCs w:val="24"/>
          <w:highlight w:val="none"/>
          <w:lang w:eastAsia="zh-CN"/>
        </w:rPr>
      </w:pPr>
      <w:r>
        <w:rPr>
          <w:rFonts w:hint="eastAsia" w:ascii="Calibri" w:hAnsi="Calibri"/>
          <w:kern w:val="2"/>
          <w:szCs w:val="24"/>
          <w:highlight w:val="none"/>
          <w:lang w:eastAsia="zh-CN"/>
        </w:rPr>
        <w:t>2、定期清洗维修保养服务，每个学期进行</w:t>
      </w:r>
      <w:r>
        <w:rPr>
          <w:rFonts w:hint="eastAsia" w:ascii="Calibri" w:hAnsi="Calibri"/>
          <w:kern w:val="2"/>
          <w:szCs w:val="24"/>
          <w:highlight w:val="none"/>
          <w:lang w:val="en-US" w:eastAsia="zh-CN"/>
        </w:rPr>
        <w:t>2</w:t>
      </w:r>
      <w:r>
        <w:rPr>
          <w:rFonts w:hint="eastAsia" w:ascii="Calibri" w:hAnsi="Calibri"/>
          <w:kern w:val="2"/>
          <w:szCs w:val="24"/>
          <w:highlight w:val="none"/>
          <w:lang w:eastAsia="zh-CN"/>
        </w:rPr>
        <w:t>次设备全面的清洗和维护保养；确保所有设备每个模块每个学期全面清洗、系统保养2次；服务期内（1年）每模块</w:t>
      </w:r>
      <w:r>
        <w:rPr>
          <w:rFonts w:hint="eastAsia" w:ascii="Calibri" w:hAnsi="Calibri"/>
          <w:kern w:val="2"/>
          <w:szCs w:val="24"/>
          <w:highlight w:val="none"/>
          <w:lang w:val="en-US" w:eastAsia="zh-CN"/>
        </w:rPr>
        <w:t>4</w:t>
      </w:r>
      <w:r>
        <w:rPr>
          <w:rFonts w:hint="eastAsia" w:ascii="Calibri" w:hAnsi="Calibri"/>
          <w:kern w:val="2"/>
          <w:szCs w:val="24"/>
          <w:highlight w:val="none"/>
          <w:lang w:eastAsia="zh-CN"/>
        </w:rPr>
        <w:t>次清洗保养及更换配件。</w:t>
      </w: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 w:ascii="Calibri" w:hAnsi="Calibri"/>
          <w:kern w:val="2"/>
          <w:szCs w:val="24"/>
          <w:highlight w:val="none"/>
          <w:lang w:eastAsia="zh-CN"/>
        </w:rPr>
      </w:pPr>
      <w:r>
        <w:rPr>
          <w:rFonts w:hint="eastAsia" w:ascii="Calibri" w:hAnsi="Calibri"/>
          <w:kern w:val="2"/>
          <w:szCs w:val="24"/>
          <w:highlight w:val="none"/>
          <w:lang w:eastAsia="zh-CN"/>
        </w:rPr>
        <w:t>3、服务期内所产生的所有零配件、上门服务费、工时费等由服务方负责。</w:t>
      </w: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 w:ascii="Calibri" w:hAnsi="Calibri"/>
          <w:kern w:val="2"/>
          <w:szCs w:val="24"/>
          <w:highlight w:val="none"/>
          <w:lang w:eastAsia="zh-CN"/>
        </w:rPr>
      </w:pPr>
      <w:r>
        <w:rPr>
          <w:rFonts w:hint="eastAsia" w:ascii="Calibri" w:hAnsi="Calibri"/>
          <w:kern w:val="2"/>
          <w:szCs w:val="24"/>
          <w:highlight w:val="none"/>
          <w:lang w:eastAsia="zh-CN"/>
        </w:rPr>
        <w:t>4、服务时效：若有设备故障问题，在校方报修后</w:t>
      </w:r>
      <w:r>
        <w:rPr>
          <w:rFonts w:hint="eastAsia" w:ascii="Calibri" w:hAnsi="Calibri"/>
          <w:kern w:val="2"/>
          <w:szCs w:val="24"/>
          <w:highlight w:val="none"/>
          <w:lang w:val="en-US" w:eastAsia="zh-CN"/>
        </w:rPr>
        <w:t>1</w:t>
      </w:r>
      <w:r>
        <w:rPr>
          <w:rFonts w:hint="eastAsia" w:ascii="Calibri" w:hAnsi="Calibri"/>
          <w:kern w:val="2"/>
          <w:szCs w:val="24"/>
          <w:highlight w:val="none"/>
          <w:lang w:eastAsia="zh-CN"/>
        </w:rPr>
        <w:t>小时内服务方需响应，</w:t>
      </w:r>
      <w:r>
        <w:rPr>
          <w:rFonts w:hint="eastAsia" w:ascii="Calibri" w:hAnsi="Calibri"/>
          <w:kern w:val="2"/>
          <w:szCs w:val="24"/>
          <w:highlight w:val="none"/>
          <w:lang w:val="en-US" w:eastAsia="zh-CN"/>
        </w:rPr>
        <w:t>24</w:t>
      </w:r>
      <w:r>
        <w:rPr>
          <w:rFonts w:hint="eastAsia" w:ascii="Calibri" w:hAnsi="Calibri"/>
          <w:kern w:val="2"/>
          <w:szCs w:val="24"/>
          <w:highlight w:val="none"/>
          <w:lang w:eastAsia="zh-CN"/>
        </w:rPr>
        <w:t>小时内排除故障；若有紧急报修，2小时内服务方技术人员需赶到现场。</w:t>
      </w: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default" w:ascii="Calibri" w:hAnsi="Calibri"/>
          <w:kern w:val="2"/>
          <w:szCs w:val="24"/>
          <w:highlight w:val="none"/>
          <w:lang w:val="en-US" w:eastAsia="zh-CN"/>
        </w:rPr>
      </w:pPr>
      <w:r>
        <w:rPr>
          <w:rFonts w:hint="eastAsia" w:ascii="Calibri" w:hAnsi="Calibri"/>
          <w:kern w:val="2"/>
          <w:szCs w:val="24"/>
          <w:highlight w:val="none"/>
          <w:lang w:val="en-US" w:eastAsia="zh-CN"/>
        </w:rPr>
        <w:t>5、需现场勘察。</w:t>
      </w:r>
    </w:p>
    <w:p>
      <w:pPr>
        <w:pStyle w:val="10"/>
        <w:widowControl/>
        <w:wordWrap w:val="0"/>
        <w:spacing w:beforeAutospacing="0" w:afterAutospacing="0" w:line="360" w:lineRule="auto"/>
        <w:rPr>
          <w:rFonts w:ascii="宋体" w:cs="宋体"/>
          <w:b/>
          <w:bCs/>
          <w:color w:val="000000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Cs w:val="24"/>
          <w:highlight w:val="none"/>
          <w:lang w:eastAsia="zh-CN"/>
        </w:rPr>
        <w:t>三、</w:t>
      </w:r>
      <w:r>
        <w:rPr>
          <w:rFonts w:hint="eastAsia" w:ascii="宋体" w:hAnsi="宋体" w:cs="宋体"/>
          <w:b/>
          <w:bCs/>
          <w:color w:val="000000"/>
          <w:szCs w:val="24"/>
          <w:highlight w:val="none"/>
        </w:rPr>
        <w:t>服务方责任：</w:t>
      </w: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ascii="Calibri" w:hAnsi="Calibri"/>
          <w:kern w:val="2"/>
          <w:szCs w:val="24"/>
          <w:highlight w:val="none"/>
        </w:rPr>
      </w:pPr>
      <w:r>
        <w:rPr>
          <w:rFonts w:ascii="Calibri" w:hAnsi="Calibri"/>
          <w:kern w:val="2"/>
          <w:szCs w:val="24"/>
          <w:highlight w:val="none"/>
        </w:rPr>
        <w:t>1</w:t>
      </w:r>
      <w:r>
        <w:rPr>
          <w:rFonts w:hint="eastAsia" w:ascii="Calibri" w:hAnsi="Calibri"/>
          <w:kern w:val="2"/>
          <w:szCs w:val="24"/>
          <w:highlight w:val="none"/>
        </w:rPr>
        <w:t>、除校方人为</w:t>
      </w:r>
      <w:r>
        <w:rPr>
          <w:rFonts w:hint="eastAsia" w:ascii="Calibri" w:hAnsi="Calibri"/>
          <w:kern w:val="2"/>
          <w:szCs w:val="24"/>
          <w:highlight w:val="none"/>
          <w:lang w:eastAsia="zh-CN"/>
        </w:rPr>
        <w:t>损坏</w:t>
      </w:r>
      <w:r>
        <w:rPr>
          <w:rFonts w:hint="eastAsia" w:ascii="Calibri" w:hAnsi="Calibri"/>
          <w:kern w:val="2"/>
          <w:szCs w:val="24"/>
          <w:highlight w:val="none"/>
        </w:rPr>
        <w:t>、自然灾害及其他不可抗力导致设备的损坏外，服务方应在维保期内保证系统设备处于良好使用状态。</w:t>
      </w: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</w:rPr>
      </w:pPr>
      <w:r>
        <w:rPr>
          <w:kern w:val="2"/>
          <w:highlight w:val="none"/>
        </w:rPr>
        <w:t>2</w:t>
      </w:r>
      <w:r>
        <w:rPr>
          <w:rFonts w:hint="eastAsia"/>
          <w:kern w:val="2"/>
          <w:highlight w:val="none"/>
        </w:rPr>
        <w:t>、服务方应向校方提供经过</w:t>
      </w:r>
      <w:r>
        <w:rPr>
          <w:rFonts w:hint="eastAsia"/>
          <w:kern w:val="2"/>
          <w:highlight w:val="none"/>
          <w:lang w:eastAsia="zh-CN"/>
        </w:rPr>
        <w:t>校</w:t>
      </w:r>
      <w:r>
        <w:rPr>
          <w:rFonts w:hint="eastAsia"/>
          <w:kern w:val="2"/>
          <w:highlight w:val="none"/>
        </w:rPr>
        <w:t>方指定人员签字确认的书面</w:t>
      </w:r>
      <w:r>
        <w:rPr>
          <w:rFonts w:hint="eastAsia"/>
          <w:kern w:val="2"/>
          <w:highlight w:val="none"/>
          <w:lang w:eastAsia="zh-CN"/>
        </w:rPr>
        <w:t>清洗</w:t>
      </w:r>
      <w:r>
        <w:rPr>
          <w:rFonts w:hint="eastAsia"/>
          <w:kern w:val="2"/>
          <w:highlight w:val="none"/>
        </w:rPr>
        <w:t>保</w:t>
      </w:r>
      <w:r>
        <w:rPr>
          <w:rFonts w:hint="eastAsia"/>
          <w:kern w:val="2"/>
          <w:highlight w:val="none"/>
          <w:lang w:eastAsia="zh-CN"/>
        </w:rPr>
        <w:t>养等</w:t>
      </w:r>
      <w:r>
        <w:rPr>
          <w:rFonts w:hint="eastAsia"/>
          <w:kern w:val="2"/>
          <w:highlight w:val="none"/>
        </w:rPr>
        <w:t>单据，</w:t>
      </w:r>
      <w:r>
        <w:rPr>
          <w:rFonts w:hint="eastAsia"/>
          <w:kern w:val="2"/>
          <w:highlight w:val="none"/>
          <w:lang w:eastAsia="zh-CN"/>
        </w:rPr>
        <w:t>作为</w:t>
      </w:r>
      <w:r>
        <w:rPr>
          <w:rFonts w:hint="eastAsia"/>
          <w:kern w:val="2"/>
          <w:highlight w:val="none"/>
        </w:rPr>
        <w:t>服务方已经履行了</w:t>
      </w:r>
      <w:r>
        <w:rPr>
          <w:rFonts w:hint="eastAsia"/>
          <w:kern w:val="2"/>
          <w:highlight w:val="none"/>
          <w:lang w:eastAsia="zh-CN"/>
        </w:rPr>
        <w:t>清洗</w:t>
      </w:r>
      <w:r>
        <w:rPr>
          <w:rFonts w:hint="eastAsia"/>
          <w:kern w:val="2"/>
          <w:highlight w:val="none"/>
        </w:rPr>
        <w:t>维保等义务。</w:t>
      </w: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  <w:r>
        <w:rPr>
          <w:rFonts w:hint="eastAsia"/>
          <w:kern w:val="2"/>
          <w:highlight w:val="none"/>
          <w:lang w:val="en-US" w:eastAsia="zh-CN"/>
        </w:rPr>
        <w:t>3、在规定服务时效内，服务方迟到超过1小时，甲方有权对乙方处以1000元罚款，超过2小时，甲方有权对乙方处以2000元罚款。</w:t>
      </w: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10"/>
        <w:widowControl/>
        <w:wordWrap w:val="0"/>
        <w:spacing w:beforeAutospacing="0" w:afterAutospacing="0" w:line="360" w:lineRule="auto"/>
        <w:ind w:firstLine="480" w:firstLineChars="200"/>
        <w:rPr>
          <w:rFonts w:hint="eastAsia"/>
          <w:kern w:val="2"/>
          <w:highlight w:val="none"/>
          <w:lang w:val="en-US" w:eastAsia="zh-CN"/>
        </w:rPr>
      </w:pPr>
    </w:p>
    <w:p>
      <w:pPr>
        <w:pStyle w:val="5"/>
        <w:ind w:firstLine="1506" w:firstLineChars="50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现 场 勘 察 证 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numPr>
          <w:numId w:val="0"/>
        </w:numPr>
        <w:ind w:left="210" w:leftChars="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项目名称：</w:t>
      </w:r>
      <w:r>
        <w:rPr>
          <w:rFonts w:hint="eastAsia"/>
          <w:lang w:val="en-US" w:eastAsia="zh-CN"/>
        </w:rPr>
        <w:t>浙江水利水电学院两校区食堂蒸汽发生器维保项目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要求，我方（公司名称：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）于   年  月  日完成现场勘察，并根据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要求自行设计技术方案，否则将视为无效投标，特此证明，此证明文件作为投标文件的有效组成部分。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盖章）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勘察时间：      年       月      日</w:t>
      </w:r>
    </w:p>
    <w:p>
      <w:pPr>
        <w:rPr>
          <w:rFonts w:hint="eastAsia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ind w:left="0" w:leftChars="0" w:firstLine="0" w:firstLineChars="0"/>
        <w:rPr>
          <w:rFonts w:hint="eastAsia"/>
        </w:rPr>
      </w:pPr>
    </w:p>
    <w:p>
      <w:pPr>
        <w:pStyle w:val="10"/>
        <w:widowControl/>
        <w:wordWrap w:val="0"/>
        <w:spacing w:beforeAutospacing="0" w:afterAutospacing="0" w:line="360" w:lineRule="auto"/>
        <w:rPr>
          <w:rFonts w:hint="eastAsia"/>
          <w:kern w:val="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4B48DD"/>
    <w:multiLevelType w:val="singleLevel"/>
    <w:tmpl w:val="9C4B48DD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1">
    <w:nsid w:val="0B56890D"/>
    <w:multiLevelType w:val="singleLevel"/>
    <w:tmpl w:val="0B5689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zJhMDhmODcyNGQzNDY1M2M5OTllYjIyNTBlYjIifQ=="/>
    <w:docVar w:name="KSO_WPS_MARK_KEY" w:val="08181f49-10e2-4d8d-b446-3dcb5facba79"/>
  </w:docVars>
  <w:rsids>
    <w:rsidRoot w:val="635028B9"/>
    <w:rsid w:val="000163E7"/>
    <w:rsid w:val="00063939"/>
    <w:rsid w:val="000E64D5"/>
    <w:rsid w:val="00140227"/>
    <w:rsid w:val="001615C7"/>
    <w:rsid w:val="001903F8"/>
    <w:rsid w:val="001B1C59"/>
    <w:rsid w:val="001D1A1F"/>
    <w:rsid w:val="001F444B"/>
    <w:rsid w:val="00215771"/>
    <w:rsid w:val="003107C3"/>
    <w:rsid w:val="00361FB8"/>
    <w:rsid w:val="00386F73"/>
    <w:rsid w:val="003F52BD"/>
    <w:rsid w:val="003F533F"/>
    <w:rsid w:val="00447F73"/>
    <w:rsid w:val="004721BE"/>
    <w:rsid w:val="004F1093"/>
    <w:rsid w:val="005117B7"/>
    <w:rsid w:val="00552F8E"/>
    <w:rsid w:val="005A5F16"/>
    <w:rsid w:val="00646516"/>
    <w:rsid w:val="0066067A"/>
    <w:rsid w:val="006A3993"/>
    <w:rsid w:val="00720261"/>
    <w:rsid w:val="0075275F"/>
    <w:rsid w:val="00760301"/>
    <w:rsid w:val="00791FBA"/>
    <w:rsid w:val="0082165C"/>
    <w:rsid w:val="00852F04"/>
    <w:rsid w:val="00870F7B"/>
    <w:rsid w:val="00885090"/>
    <w:rsid w:val="008F3A2C"/>
    <w:rsid w:val="009129C0"/>
    <w:rsid w:val="009265C6"/>
    <w:rsid w:val="0096414D"/>
    <w:rsid w:val="00992C8D"/>
    <w:rsid w:val="009E2976"/>
    <w:rsid w:val="009F32CB"/>
    <w:rsid w:val="00B01B99"/>
    <w:rsid w:val="00B2528F"/>
    <w:rsid w:val="00BA09BE"/>
    <w:rsid w:val="00D87392"/>
    <w:rsid w:val="00DC7349"/>
    <w:rsid w:val="00DD0E76"/>
    <w:rsid w:val="00DE4387"/>
    <w:rsid w:val="00DE6D2D"/>
    <w:rsid w:val="00E0298A"/>
    <w:rsid w:val="00E50AA9"/>
    <w:rsid w:val="00EF1774"/>
    <w:rsid w:val="00F06B9C"/>
    <w:rsid w:val="00F06DF7"/>
    <w:rsid w:val="00F20867"/>
    <w:rsid w:val="00F956D2"/>
    <w:rsid w:val="00FA250C"/>
    <w:rsid w:val="00FC01BF"/>
    <w:rsid w:val="00FE2618"/>
    <w:rsid w:val="01B930C4"/>
    <w:rsid w:val="020B2736"/>
    <w:rsid w:val="033243BE"/>
    <w:rsid w:val="05386539"/>
    <w:rsid w:val="06B82787"/>
    <w:rsid w:val="0ECE4857"/>
    <w:rsid w:val="0F10730A"/>
    <w:rsid w:val="108E5C4F"/>
    <w:rsid w:val="11A12F82"/>
    <w:rsid w:val="13C40A2C"/>
    <w:rsid w:val="14BE39FB"/>
    <w:rsid w:val="14F0313A"/>
    <w:rsid w:val="15E678C5"/>
    <w:rsid w:val="18212328"/>
    <w:rsid w:val="1CCD4300"/>
    <w:rsid w:val="1D5658C1"/>
    <w:rsid w:val="1E4D4A83"/>
    <w:rsid w:val="1E756958"/>
    <w:rsid w:val="1E9C6E4C"/>
    <w:rsid w:val="1FB468CB"/>
    <w:rsid w:val="207746EB"/>
    <w:rsid w:val="26C2703F"/>
    <w:rsid w:val="27687D3F"/>
    <w:rsid w:val="28667E04"/>
    <w:rsid w:val="28CE0768"/>
    <w:rsid w:val="2B2B1A81"/>
    <w:rsid w:val="2CC50A25"/>
    <w:rsid w:val="313B7A18"/>
    <w:rsid w:val="326F281D"/>
    <w:rsid w:val="339A3692"/>
    <w:rsid w:val="373C5655"/>
    <w:rsid w:val="391E1CBE"/>
    <w:rsid w:val="3A9F292D"/>
    <w:rsid w:val="3B9938D8"/>
    <w:rsid w:val="3EB85615"/>
    <w:rsid w:val="3F313201"/>
    <w:rsid w:val="403171DE"/>
    <w:rsid w:val="44A112B8"/>
    <w:rsid w:val="44B4037F"/>
    <w:rsid w:val="44F036F7"/>
    <w:rsid w:val="45400A26"/>
    <w:rsid w:val="47C24431"/>
    <w:rsid w:val="47FE27E2"/>
    <w:rsid w:val="4A61290F"/>
    <w:rsid w:val="4C813CA1"/>
    <w:rsid w:val="4E1221FB"/>
    <w:rsid w:val="4F833C1A"/>
    <w:rsid w:val="52B20A82"/>
    <w:rsid w:val="539C26DB"/>
    <w:rsid w:val="56404420"/>
    <w:rsid w:val="59196F5F"/>
    <w:rsid w:val="5F7601AD"/>
    <w:rsid w:val="5FFC2D0E"/>
    <w:rsid w:val="60774D1D"/>
    <w:rsid w:val="635028B9"/>
    <w:rsid w:val="63D75934"/>
    <w:rsid w:val="67BF5F1E"/>
    <w:rsid w:val="69E81FB9"/>
    <w:rsid w:val="6C51251D"/>
    <w:rsid w:val="6D32242B"/>
    <w:rsid w:val="6E4E4092"/>
    <w:rsid w:val="6F9D462E"/>
    <w:rsid w:val="703653BA"/>
    <w:rsid w:val="74E94A1D"/>
    <w:rsid w:val="75421A68"/>
    <w:rsid w:val="76D71AB9"/>
    <w:rsid w:val="79B60F87"/>
    <w:rsid w:val="7C10517F"/>
    <w:rsid w:val="7CEC2D4B"/>
    <w:rsid w:val="7DED394B"/>
    <w:rsid w:val="7E3C2506"/>
    <w:rsid w:val="7FD6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99"/>
    <w:pPr>
      <w:keepNext/>
      <w:keepLines/>
      <w:spacing w:before="340" w:after="330" w:line="576" w:lineRule="auto"/>
      <w:ind w:left="429" w:hanging="429" w:hangingChars="134"/>
      <w:jc w:val="center"/>
      <w:outlineLvl w:val="0"/>
    </w:pPr>
    <w:rPr>
      <w:b/>
      <w:kern w:val="44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unhideWhenUsed/>
    <w:qFormat/>
    <w:uiPriority w:val="0"/>
    <w:pPr>
      <w:spacing w:beforeLines="0" w:afterLines="0"/>
    </w:pPr>
    <w:rPr>
      <w:rFonts w:hint="eastAsia" w:ascii="宋体" w:hAnsi="宋体" w:eastAsia="宋体" w:cs="Times New Roman"/>
      <w:sz w:val="24"/>
      <w:lang w:val="zh-CN" w:eastAsia="zh-CN"/>
    </w:rPr>
  </w:style>
  <w:style w:type="paragraph" w:styleId="4">
    <w:name w:val="Normal Indent"/>
    <w:basedOn w:val="1"/>
    <w:next w:val="1"/>
    <w:qFormat/>
    <w:locked/>
    <w:uiPriority w:val="0"/>
    <w:pPr>
      <w:ind w:firstLine="420" w:firstLineChars="200"/>
    </w:pPr>
  </w:style>
  <w:style w:type="paragraph" w:styleId="5">
    <w:name w:val="Body Text"/>
    <w:basedOn w:val="1"/>
    <w:qFormat/>
    <w:locked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6">
    <w:name w:val="Plain Text"/>
    <w:basedOn w:val="1"/>
    <w:link w:val="15"/>
    <w:autoRedefine/>
    <w:qFormat/>
    <w:uiPriority w:val="99"/>
    <w:pPr>
      <w:spacing w:beforeLines="50" w:afterLines="50" w:line="400" w:lineRule="atLeast"/>
    </w:pPr>
    <w:rPr>
      <w:rFonts w:ascii="宋体" w:hAnsi="Courier New"/>
      <w:sz w:val="24"/>
      <w:szCs w:val="24"/>
    </w:rPr>
  </w:style>
  <w:style w:type="paragraph" w:styleId="7">
    <w:name w:val="Balloon Text"/>
    <w:basedOn w:val="1"/>
    <w:link w:val="19"/>
    <w:semiHidden/>
    <w:unhideWhenUsed/>
    <w:qFormat/>
    <w:locked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1 Char"/>
    <w:link w:val="3"/>
    <w:autoRedefine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纯文本 Char"/>
    <w:link w:val="6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6">
    <w:name w:val="页脚 Char"/>
    <w:link w:val="8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眉 Char"/>
    <w:link w:val="9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font11"/>
    <w:autoRedefine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批注框文本 Char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font71"/>
    <w:basedOn w:val="13"/>
    <w:autoRedefine/>
    <w:qFormat/>
    <w:uiPriority w:val="0"/>
    <w:rPr>
      <w:rFonts w:hint="default" w:ascii="等线" w:hAnsi="等线" w:eastAsia="等线" w:cs="等线"/>
      <w:b/>
      <w:color w:val="000000"/>
      <w:sz w:val="21"/>
      <w:szCs w:val="21"/>
      <w:u w:val="none"/>
    </w:rPr>
  </w:style>
  <w:style w:type="character" w:customStyle="1" w:styleId="21">
    <w:name w:val="font31"/>
    <w:basedOn w:val="13"/>
    <w:qFormat/>
    <w:uiPriority w:val="0"/>
    <w:rPr>
      <w:rFonts w:hint="default" w:ascii="等线" w:hAnsi="等线" w:eastAsia="等线" w:cs="等线"/>
      <w:color w:val="000000"/>
      <w:sz w:val="21"/>
      <w:szCs w:val="21"/>
      <w:u w:val="none"/>
    </w:rPr>
  </w:style>
  <w:style w:type="character" w:customStyle="1" w:styleId="22">
    <w:name w:val="font5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95783-9B05-42D7-A232-7AC5D819A6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647</Words>
  <Characters>696</Characters>
  <Lines>14</Lines>
  <Paragraphs>4</Paragraphs>
  <TotalTime>0</TotalTime>
  <ScaleCrop>false</ScaleCrop>
  <LinksUpToDate>false</LinksUpToDate>
  <CharactersWithSpaces>766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2018-03-05T02:14:00Z</dcterms:created>
  <dc:creator>明莱—郭永龙</dc:creator>
  <cp:lastModifiedBy>A盖世小可爱</cp:lastModifiedBy>
  <cp:lastPrinted>2024-03-11T04:38:00Z</cp:lastPrinted>
  <dcterms:modified xsi:type="dcterms:W3CDTF">2024-04-02T02:41:31Z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B3B086FA687B41F9BA0747F1D58FE5CE_13</vt:lpwstr>
  </property>
</Properties>
</file>